
<file path=[Content_Types].xml><?xml version="1.0" encoding="utf-8"?>
<Types xmlns="http://schemas.openxmlformats.org/package/2006/content-types">
  <Default Extension="6AC55920" ContentType="image/png"/>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pStyle w:val="Sansinterligne"/>
      </w:pPr>
      <w:bookmarkStart w:id="0" w:name="_Toc156789994"/>
      <w:bookmarkStart w:id="1" w:name="_Toc231012918"/>
    </w:p>
    <w:p>
      <w:r>
        <w:rPr>
          <w:noProof/>
          <w:lang w:eastAsia="fr-FR"/>
        </w:rPr>
        <w:drawing>
          <wp:anchor distT="0" distB="0" distL="114300" distR="114300" simplePos="0" relativeHeight="251701248" behindDoc="0" locked="0" layoutInCell="1" allowOverlap="1">
            <wp:simplePos x="0" y="0"/>
            <wp:positionH relativeFrom="column">
              <wp:posOffset>22225</wp:posOffset>
            </wp:positionH>
            <wp:positionV relativeFrom="paragraph">
              <wp:posOffset>423747</wp:posOffset>
            </wp:positionV>
            <wp:extent cx="5743575" cy="1514475"/>
            <wp:effectExtent l="0" t="0" r="9525" b="9525"/>
            <wp:wrapThrough wrapText="bothSides">
              <wp:wrapPolygon edited="0">
                <wp:start x="0" y="0"/>
                <wp:lineTo x="0" y="21464"/>
                <wp:lineTo x="21564" y="21464"/>
                <wp:lineTo x="21564" y="0"/>
                <wp:lineTo x="0" y="0"/>
              </wp:wrapPolygon>
            </wp:wrapThrough>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noProof/>
        </w:rPr>
      </w:pPr>
    </w:p>
    <w:p>
      <w:pPr>
        <w:tabs>
          <w:tab w:val="left" w:pos="0"/>
        </w:tabs>
      </w:pPr>
      <w:r>
        <w:rPr>
          <w:noProof/>
          <w:lang w:eastAsia="fr-FR"/>
        </w:rPr>
        <mc:AlternateContent>
          <mc:Choice Requires="wpg">
            <w:drawing>
              <wp:anchor distT="0" distB="0" distL="114300" distR="114300" simplePos="0" relativeHeight="251699200" behindDoc="0" locked="0" layoutInCell="1" allowOverlap="1">
                <wp:simplePos x="0" y="0"/>
                <wp:positionH relativeFrom="column">
                  <wp:posOffset>1621094</wp:posOffset>
                </wp:positionH>
                <wp:positionV relativeFrom="paragraph">
                  <wp:posOffset>82497</wp:posOffset>
                </wp:positionV>
                <wp:extent cx="2420471" cy="2220686"/>
                <wp:effectExtent l="0" t="0" r="0" b="8255"/>
                <wp:wrapNone/>
                <wp:docPr id="2" name="Groupe 35"/>
                <wp:cNvGraphicFramePr/>
                <a:graphic xmlns:a="http://schemas.openxmlformats.org/drawingml/2006/main">
                  <a:graphicData uri="http://schemas.microsoft.com/office/word/2010/wordprocessingGroup">
                    <wpg:wgp>
                      <wpg:cNvGrpSpPr/>
                      <wpg:grpSpPr>
                        <a:xfrm>
                          <a:off x="0" y="0"/>
                          <a:ext cx="2420471" cy="2220686"/>
                          <a:chOff x="0" y="0"/>
                          <a:chExt cx="1709797" cy="1648549"/>
                        </a:xfrm>
                      </wpg:grpSpPr>
                      <wps:wsp>
                        <wps:cNvPr id="3" name="Hexagone 3"/>
                        <wps:cNvSpPr>
                          <a:spLocks noChangeAspect="1"/>
                        </wps:cNvSpPr>
                        <wps:spPr>
                          <a:xfrm rot="5400000" flipV="1">
                            <a:off x="835561" y="1073881"/>
                            <a:ext cx="611178" cy="538157"/>
                          </a:xfrm>
                          <a:prstGeom prst="hexagon">
                            <a:avLst/>
                          </a:prstGeom>
                          <a:solidFill>
                            <a:srgbClr val="8966FF"/>
                          </a:solidFill>
                          <a:ln w="25400" cap="flat" cmpd="sng" algn="ctr">
                            <a:noFill/>
                            <a:prstDash val="solid"/>
                          </a:ln>
                          <a:effectLst/>
                        </wps:spPr>
                        <wps:bodyPr lIns="323934" tIns="161967" rIns="323934" bIns="161967" rtlCol="0" anchor="ctr"/>
                      </wps:wsp>
                      <wps:wsp>
                        <wps:cNvPr id="7" name="Hexagone 7"/>
                        <wps:cNvSpPr>
                          <a:spLocks noChangeAspect="1"/>
                        </wps:cNvSpPr>
                        <wps:spPr>
                          <a:xfrm rot="5400000" flipV="1">
                            <a:off x="-36510" y="538105"/>
                            <a:ext cx="611179" cy="538159"/>
                          </a:xfrm>
                          <a:prstGeom prst="hexagon">
                            <a:avLst/>
                          </a:prstGeom>
                          <a:solidFill>
                            <a:srgbClr val="04BAC8"/>
                          </a:solidFill>
                          <a:ln w="25400" cap="flat" cmpd="sng" algn="ctr">
                            <a:noFill/>
                            <a:prstDash val="solid"/>
                          </a:ln>
                          <a:effectLst/>
                        </wps:spPr>
                        <wps:bodyPr lIns="323934" tIns="161967" rIns="323934" bIns="161967" rtlCol="0" anchor="ctr"/>
                      </wps:wsp>
                      <wps:wsp>
                        <wps:cNvPr id="8" name="Hexagone 8"/>
                        <wps:cNvSpPr>
                          <a:spLocks noChangeAspect="1"/>
                        </wps:cNvSpPr>
                        <wps:spPr>
                          <a:xfrm rot="5400000" flipV="1">
                            <a:off x="848001" y="50700"/>
                            <a:ext cx="611179" cy="538159"/>
                          </a:xfrm>
                          <a:prstGeom prst="hexagon">
                            <a:avLst/>
                          </a:prstGeom>
                          <a:solidFill>
                            <a:srgbClr val="F14E50"/>
                          </a:solidFill>
                          <a:ln w="25400" cap="flat" cmpd="sng" algn="ctr">
                            <a:noFill/>
                            <a:prstDash val="solid"/>
                          </a:ln>
                          <a:effectLst/>
                        </wps:spPr>
                        <wps:bodyPr lIns="323934" tIns="161967" rIns="323934" bIns="161967" rtlCol="0" anchor="ctr"/>
                      </wps:wsp>
                      <wps:wsp>
                        <wps:cNvPr id="15" name="Hexagone 15"/>
                        <wps:cNvSpPr>
                          <a:spLocks noChangeAspect="1"/>
                        </wps:cNvSpPr>
                        <wps:spPr>
                          <a:xfrm rot="5400000" flipV="1">
                            <a:off x="262278" y="36510"/>
                            <a:ext cx="611180" cy="538159"/>
                          </a:xfrm>
                          <a:prstGeom prst="hexagon">
                            <a:avLst/>
                          </a:prstGeom>
                          <a:solidFill>
                            <a:srgbClr val="A3B2D9"/>
                          </a:solidFill>
                          <a:ln w="25400" cap="flat" cmpd="sng" algn="ctr">
                            <a:noFill/>
                            <a:prstDash val="solid"/>
                          </a:ln>
                          <a:effectLst/>
                        </wps:spPr>
                        <wps:bodyPr lIns="323934" tIns="161967" rIns="323934" bIns="161967" rtlCol="0" anchor="ctr"/>
                      </wps:wsp>
                      <wps:wsp>
                        <wps:cNvPr id="16" name="Hexagone 16"/>
                        <wps:cNvSpPr>
                          <a:spLocks noChangeAspect="1"/>
                        </wps:cNvSpPr>
                        <wps:spPr>
                          <a:xfrm rot="5400000" flipV="1">
                            <a:off x="256352" y="1058677"/>
                            <a:ext cx="611178" cy="538157"/>
                          </a:xfrm>
                          <a:prstGeom prst="hexagon">
                            <a:avLst/>
                          </a:prstGeom>
                          <a:solidFill>
                            <a:srgbClr val="91CF4D"/>
                          </a:solidFill>
                          <a:ln w="25400" cap="flat" cmpd="sng" algn="ctr">
                            <a:noFill/>
                            <a:prstDash val="solid"/>
                          </a:ln>
                          <a:effectLst/>
                        </wps:spPr>
                        <wps:bodyPr lIns="323934" tIns="161967" rIns="323934" bIns="161967" rtlCol="0" anchor="ctr"/>
                      </wps:wsp>
                      <wps:wsp>
                        <wps:cNvPr id="18" name="Hexagone 18"/>
                        <wps:cNvSpPr>
                          <a:spLocks noChangeAspect="1"/>
                        </wps:cNvSpPr>
                        <wps:spPr>
                          <a:xfrm rot="5400000" flipV="1">
                            <a:off x="551006" y="557080"/>
                            <a:ext cx="611178" cy="538157"/>
                          </a:xfrm>
                          <a:prstGeom prst="hexagon">
                            <a:avLst/>
                          </a:prstGeom>
                          <a:solidFill>
                            <a:srgbClr val="004272"/>
                          </a:solidFill>
                          <a:ln w="41275" cap="flat" cmpd="sng" algn="ctr">
                            <a:noFill/>
                            <a:prstDash val="solid"/>
                          </a:ln>
                          <a:effectLst/>
                        </wps:spPr>
                        <wps:bodyPr lIns="323934" tIns="161967" rIns="323934" bIns="161967" rtlCol="0" anchor="ctr"/>
                      </wps:wsp>
                      <wps:wsp>
                        <wps:cNvPr id="20" name="Hexagone 20"/>
                        <wps:cNvSpPr>
                          <a:spLocks noChangeAspect="1"/>
                        </wps:cNvSpPr>
                        <wps:spPr>
                          <a:xfrm rot="5400000" flipV="1">
                            <a:off x="549212" y="559530"/>
                            <a:ext cx="611178" cy="538157"/>
                          </a:xfrm>
                          <a:prstGeom prst="hexagon">
                            <a:avLst/>
                          </a:prstGeom>
                          <a:noFill/>
                          <a:ln w="22225" cap="flat" cmpd="sng" algn="ctr">
                            <a:solidFill>
                              <a:srgbClr val="FFFFFF">
                                <a:lumMod val="85000"/>
                              </a:srgbClr>
                            </a:solidFill>
                            <a:prstDash val="solid"/>
                          </a:ln>
                          <a:effectLst/>
                        </wps:spPr>
                        <wps:bodyPr lIns="323934" tIns="161967" rIns="323934" bIns="161967" rtlCol="0" anchor="ctr"/>
                      </wps:wsp>
                      <pic:pic xmlns:pic="http://schemas.openxmlformats.org/drawingml/2006/picture">
                        <pic:nvPicPr>
                          <pic:cNvPr id="2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65732" y="683780"/>
                            <a:ext cx="378137" cy="24680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9" name="Hexagone 29"/>
                        <wps:cNvSpPr>
                          <a:spLocks noChangeAspect="1"/>
                        </wps:cNvSpPr>
                        <wps:spPr>
                          <a:xfrm rot="5400000" flipV="1">
                            <a:off x="1135130" y="557481"/>
                            <a:ext cx="611178" cy="538157"/>
                          </a:xfrm>
                          <a:prstGeom prst="hexagon">
                            <a:avLst/>
                          </a:prstGeom>
                          <a:solidFill>
                            <a:srgbClr val="F39200"/>
                          </a:solidFill>
                          <a:ln w="44450" cap="flat" cmpd="sng" algn="ctr">
                            <a:noFill/>
                            <a:prstDash val="solid"/>
                          </a:ln>
                          <a:effectLst/>
                        </wps:spPr>
                        <wps:bodyPr lIns="323934" tIns="161967" rIns="323934" bIns="161967" rtlCol="0" anchor="ctr"/>
                      </wps:wsp>
                    </wpg:wgp>
                  </a:graphicData>
                </a:graphic>
                <wp14:sizeRelH relativeFrom="margin">
                  <wp14:pctWidth>0</wp14:pctWidth>
                </wp14:sizeRelH>
                <wp14:sizeRelV relativeFrom="margin">
                  <wp14:pctHeight>0</wp14:pctHeight>
                </wp14:sizeRelV>
              </wp:anchor>
            </w:drawing>
          </mc:Choice>
          <mc:Fallback>
            <w:pict>
              <v:group w14:anchorId="11272C89" id="Groupe 35" o:spid="_x0000_s1026" style="position:absolute;margin-left:127.65pt;margin-top:6.5pt;width:190.6pt;height:174.85pt;z-index:251699200;mso-width-relative:margin;mso-height-relative:margin" coordsize="17097,1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27" type="#_x0000_t9" style="position:absolute;left:8355;top:10738;width:6112;height:5382;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GPsEA&#10;AADaAAAADwAAAGRycy9kb3ducmV2LnhtbESPQWsCMRSE7wX/Q3iCt5pVoZXVKLrU0h7XFrw+Ns/d&#10;xeRlSVI3/fdNodDjMDPfMNt9skbcyYfesYLFvABB3Djdc6vg8+P0uAYRIrJG45gUfFOA/W7ysMVS&#10;u5Frup9jKzKEQ4kKuhiHUsrQdGQxzN1AnL2r8xZjlr6V2uOY4dbIZVE8SYs954UOB6o6am7nL6uA&#10;jvVLejW1v7xX1ejj+tSmZ6PUbJoOGxCRUvwP/7XftIIV/F7JN0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dhj7BAAAA2gAAAA8AAAAAAAAAAAAAAAAAmAIAAGRycy9kb3du&#10;cmV2LnhtbFBLBQYAAAAABAAEAPUAAACGAwAAAAA=&#10;" adj="4755" fillcolor="#8966ff" stroked="f" strokeweight="2pt">
                  <v:path arrowok="t"/>
                  <o:lock v:ext="edit" aspectratio="t"/>
                  <v:textbox inset="8.99817mm,4.49908mm,8.99817mm,4.49908mm"/>
                </v:shape>
                <v:shape id="Hexagone 7" o:spid="_x0000_s1028" type="#_x0000_t9" style="position:absolute;left:-365;top:5380;width:6112;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MVMUA&#10;AADaAAAADwAAAGRycy9kb3ducmV2LnhtbESPQWvCQBSE7wX/w/KE3ppNe6gSs0oobWm0B40ePD6y&#10;zySYfZtmV43++m6h4HGYmW+YdDGYVpypd41lBc9RDIK4tLrhSsFu+/E0BeE8ssbWMim4koPFfPSQ&#10;YqLthTd0LnwlAoRdggpq77tESlfWZNBFtiMO3sH2Bn2QfSV1j5cAN618ieNXabDhsFBjR281lcfi&#10;ZBS8T6tlzsO++DTF7Ye/b9kqv66VehwP2QyEp8Hfw//tL61gAn9Xwg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cxUxQAAANoAAAAPAAAAAAAAAAAAAAAAAJgCAABkcnMv&#10;ZG93bnJldi54bWxQSwUGAAAAAAQABAD1AAAAigMAAAAA&#10;" adj="4755" fillcolor="#04bac8" stroked="f" strokeweight="2pt">
                  <v:path arrowok="t"/>
                  <o:lock v:ext="edit" aspectratio="t"/>
                  <v:textbox inset="8.99817mm,4.49908mm,8.99817mm,4.49908mm"/>
                </v:shape>
                <v:shape id="Hexagone 8" o:spid="_x0000_s1029" type="#_x0000_t9" style="position:absolute;left:8480;top:506;width:6112;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0C8AA&#10;AADaAAAADwAAAGRycy9kb3ducmV2LnhtbERP3WrCMBS+F/YO4Qy8kZmqIK4zLSqMlSGIXR/gkJy1&#10;Zc1JaTLb+fTLxWCXH9//Pp9sJ240+NaxgtUyAUGsnWm5VlB9vD7tQPiAbLBzTAp+yEOePcz2mBo3&#10;8pVuZahFDGGfooImhD6V0uuGLPql64kj9+kGiyHCoZZmwDGG206uk2QrLbYcGxrs6dSQ/iq/rYJF&#10;gfejvlTjs7YFvpmNey/PhVLzx+nwAiLQFP7Ff+7CKIhb45V4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X0C8AAAADaAAAADwAAAAAAAAAAAAAAAACYAgAAZHJzL2Rvd25y&#10;ZXYueG1sUEsFBgAAAAAEAAQA9QAAAIUDAAAAAA==&#10;" adj="4755" fillcolor="#f14e50" stroked="f" strokeweight="2pt">
                  <v:path arrowok="t"/>
                  <o:lock v:ext="edit" aspectratio="t"/>
                  <v:textbox inset="8.99817mm,4.49908mm,8.99817mm,4.49908mm"/>
                </v:shape>
                <v:shape id="Hexagone 15" o:spid="_x0000_s1030" type="#_x0000_t9" style="position:absolute;left:2622;top:365;width:6111;height:5382;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0t78A&#10;AADbAAAADwAAAGRycy9kb3ducmV2LnhtbERPTYvCMBC9L/gfwgje1tQFpVSjiEtBEIRVDx6HZmyK&#10;zaQ20dZ/bxYEb/N4n7NY9bYWD2p95VjBZJyAIC6crrhUcDrm3ykIH5A11o5JwZM8rJaDrwVm2nX8&#10;R49DKEUMYZ+hAhNCk0npC0MW/dg1xJG7uNZiiLAtpW6xi+G2lj9JMpMWK44NBhvaGCquh7tVsHfd&#10;2TTVlmwqfy/T3TVPb12u1GjYr+cgAvXhI367tzrOn8L/L/E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DS3vwAAANsAAAAPAAAAAAAAAAAAAAAAAJgCAABkcnMvZG93bnJl&#10;di54bWxQSwUGAAAAAAQABAD1AAAAhAMAAAAA&#10;" adj="4755" fillcolor="#a3b2d9" stroked="f" strokeweight="2pt">
                  <v:path arrowok="t"/>
                  <o:lock v:ext="edit" aspectratio="t"/>
                  <v:textbox inset="8.99817mm,4.49908mm,8.99817mm,4.49908mm"/>
                </v:shape>
                <v:shape id="Hexagone 16" o:spid="_x0000_s1031" type="#_x0000_t9" style="position:absolute;left:2563;top:10586;width:6112;height:5382;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EJsQA&#10;AADbAAAADwAAAGRycy9kb3ducmV2LnhtbESPT4vCMBDF74LfIYzgRTTVQ1mqUVRQ9CSrHjwOzdg/&#10;NpPSxLa7n36zsLC3Gd77vXmz2vSmEi01rrCsYD6LQBCnVhecKbjfDtMPEM4ja6wsk4IvcrBZDwcr&#10;TLTt+JPaq89ECGGXoILc+zqR0qU5GXQzWxMH7Wkbgz6sTSZ1g10IN5VcRFEsDRYcLuRY0z6n9HV9&#10;GwWBOHdxOTnsotOxbM+PS/ntLkqNR/12CcJT7//Nf/RJh/ox/P4SB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CbEAAAA2wAAAA8AAAAAAAAAAAAAAAAAmAIAAGRycy9k&#10;b3ducmV2LnhtbFBLBQYAAAAABAAEAPUAAACJAwAAAAA=&#10;" adj="4755" fillcolor="#91cf4d" stroked="f" strokeweight="2pt">
                  <v:path arrowok="t"/>
                  <o:lock v:ext="edit" aspectratio="t"/>
                  <v:textbox inset="8.99817mm,4.49908mm,8.99817mm,4.49908mm"/>
                </v:shape>
                <v:shape id="Hexagone 18" o:spid="_x0000_s1032" type="#_x0000_t9" style="position:absolute;left:5510;top:5570;width:6112;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I7cUA&#10;AADbAAAADwAAAGRycy9kb3ducmV2LnhtbESPT2vCQBDF7wW/wzJCb3WTHKREVxFFLYVC/QNeh+yY&#10;RLOzIbvV6KfvHAq9zfDevPeb6bx3jbpRF2rPBtJRAoq48Lbm0sDxsH57BxUissXGMxl4UID5bPAy&#10;xdz6O+/oto+lkhAOORqoYmxzrUNRkcMw8i2xaGffOYyydqW2Hd4l3DU6S5KxdlizNFTY0rKi4rr/&#10;cQY2n9/br1V5yrbjbJdeEn7q1F6MeR32iwmoSH38N/9df1jBF1j5RQb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gjtxQAAANsAAAAPAAAAAAAAAAAAAAAAAJgCAABkcnMv&#10;ZG93bnJldi54bWxQSwUGAAAAAAQABAD1AAAAigMAAAAA&#10;" adj="4755" fillcolor="#004272" stroked="f" strokeweight="3.25pt">
                  <v:path arrowok="t"/>
                  <o:lock v:ext="edit" aspectratio="t"/>
                  <v:textbox inset="8.99817mm,4.49908mm,8.99817mm,4.49908mm"/>
                </v:shape>
                <v:shape id="Hexagone 20" o:spid="_x0000_s1033" type="#_x0000_t9" style="position:absolute;left:5492;top:5595;width:6111;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ZL4A&#10;AADbAAAADwAAAGRycy9kb3ducmV2LnhtbERPy4rCMBTdC/5DuII7TXUhUo0yjCgudOEDwd2ludOW&#10;aW5CE238e7MQXB7Oe7mOphFPan1tWcFknIEgLqyuuVRwvWxHcxA+IGtsLJOCF3lYr/q9Jebadnyi&#10;5zmUIoWwz1FBFYLLpfRFRQb92DrixP3Z1mBIsC2lbrFL4aaR0yybSYM1p4YKHf1WVPyfH0ZB5HB0&#10;x+7gTzvXbeebe6TNLSo1HMSfBYhAMXzFH/deK5im9elL+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5RWS+AAAA2wAAAA8AAAAAAAAAAAAAAAAAmAIAAGRycy9kb3ducmV2&#10;LnhtbFBLBQYAAAAABAAEAPUAAACDAwAAAAA=&#10;" adj="4755" filled="f" strokecolor="#d9d9d9" strokeweight="1.75pt">
                  <v:path arrowok="t"/>
                  <o:lock v:ext="edit" aspectratio="t"/>
                  <v:textbox inset="8.99817mm,4.49908mm,8.99817mm,4.49908mm"/>
                </v:shape>
                <v:shape id="Picture 4" o:spid="_x0000_s1034" type="#_x0000_t75" style="position:absolute;left:6657;top:6837;width:3781;height:2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H9WXAAAAA2wAAAA8AAABkcnMvZG93bnJldi54bWxET8uKwjAU3QvzD+EOzE7TcVCc2iii+AIX&#10;jo/9bXNtyzQ3pYla/94sBJeH806mranEjRpXWlbw3YtAEGdWl5wrOB2X3REI55E1VpZJwYMcTCcf&#10;nQRjbe/8R7eDz0UIYRejgsL7OpbSZQUZdD1bEwfuYhuDPsAml7rBewg3lexH0VAaLDk0FFjTvKDs&#10;/3A1Chz90mix3m+Hq/1m8HPa6fScaqW+PtvZGISn1r/FL/dGK+iHseFL+AFy8g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of1ZcAAAADbAAAADwAAAAAAAAAAAAAAAACfAgAA&#10;ZHJzL2Rvd25yZXYueG1sUEsFBgAAAAAEAAQA9wAAAIwDAAAAAA==&#10;" fillcolor="#4f81bd [3204]" strokecolor="black [3213]">
                  <v:imagedata r:id="rId10" o:title=""/>
                  <v:shadow color="#eeece1 [3214]"/>
                </v:shape>
                <v:shape id="Hexagone 29" o:spid="_x0000_s1035" type="#_x0000_t9" style="position:absolute;left:11351;top:5574;width:6112;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3cYA&#10;AADbAAAADwAAAGRycy9kb3ducmV2LnhtbESPT2sCMRTE7wW/Q3gFL0Wz9VDsapRaLa1IK/5pvT43&#10;z93g5mXZRN1++0YQehxm5jfMcNzYUpyp9saxgsduAoI4c9pwrmC7eev0QfiArLF0TAp+ycN41Lob&#10;YqrdhVd0XodcRAj7FBUUIVSplD4ryKLvuoo4egdXWwxR1rnUNV4i3JaylyRP0qLhuFBgRa8FZcf1&#10;ySqYznGhzZc1n5Nv/DmcHnbL2f5dqfZ98zIAEagJ/+Fb+0Mr6D3D9Uv8AXL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k3cYAAADbAAAADwAAAAAAAAAAAAAAAACYAgAAZHJz&#10;L2Rvd25yZXYueG1sUEsFBgAAAAAEAAQA9QAAAIsDAAAAAA==&#10;" adj="4755" fillcolor="#f39200" stroked="f" strokeweight="3.5pt">
                  <v:path arrowok="t"/>
                  <o:lock v:ext="edit" aspectratio="t"/>
                  <v:textbox inset="8.99817mm,4.49908mm,8.99817mm,4.49908mm"/>
                </v:shape>
              </v:group>
            </w:pict>
          </mc:Fallback>
        </mc:AlternateContent>
      </w: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r>
        <w:rPr>
          <w:noProof/>
          <w:lang w:eastAsia="fr-FR"/>
        </w:rPr>
        <mc:AlternateContent>
          <mc:Choice Requires="wps">
            <w:drawing>
              <wp:anchor distT="0" distB="0" distL="114300" distR="114300" simplePos="0" relativeHeight="5" behindDoc="0" locked="0" layoutInCell="1" allowOverlap="1">
                <wp:simplePos x="0" y="0"/>
                <wp:positionH relativeFrom="column">
                  <wp:posOffset>-247650</wp:posOffset>
                </wp:positionH>
                <wp:positionV relativeFrom="paragraph">
                  <wp:posOffset>355600</wp:posOffset>
                </wp:positionV>
                <wp:extent cx="6240780" cy="2619375"/>
                <wp:effectExtent l="19050" t="22225" r="17145" b="15875"/>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61937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spacing w:before="0"/>
                              <w:ind w:right="-45"/>
                              <w:jc w:val="center"/>
                              <w:rPr>
                                <w:rFonts w:ascii="Verdana" w:hAnsi="Verdana" w:cs="Times New Roman"/>
                                <w:b/>
                                <w:iCs/>
                                <w:color w:val="004272"/>
                                <w:sz w:val="16"/>
                                <w:szCs w:val="16"/>
                              </w:rPr>
                            </w:pPr>
                          </w:p>
                          <w:p>
                            <w:pPr>
                              <w:spacing w:before="0"/>
                              <w:ind w:right="-45"/>
                              <w:jc w:val="center"/>
                              <w:rPr>
                                <w:rFonts w:ascii="Verdana" w:hAnsi="Verdana" w:cs="Times New Roman"/>
                                <w:b/>
                                <w:iCs/>
                                <w:color w:val="365F91"/>
                                <w:sz w:val="16"/>
                                <w:szCs w:val="16"/>
                              </w:rPr>
                            </w:pPr>
                          </w:p>
                          <w:p>
                            <w:pPr>
                              <w:spacing w:before="0"/>
                              <w:ind w:right="-45"/>
                              <w:jc w:val="center"/>
                              <w:rPr>
                                <w:rFonts w:ascii="Verdana" w:hAnsi="Verdana" w:cs="Times New Roman"/>
                                <w:iCs/>
                                <w:color w:val="365F91"/>
                                <w:sz w:val="40"/>
                                <w:szCs w:val="40"/>
                              </w:rPr>
                            </w:pPr>
                            <w:r>
                              <w:rPr>
                                <w:rFonts w:ascii="Verdana" w:hAnsi="Verdana" w:cs="Times New Roman"/>
                                <w:iCs/>
                                <w:color w:val="365F91"/>
                                <w:sz w:val="40"/>
                                <w:szCs w:val="40"/>
                              </w:rPr>
                              <w:t>Projet SIRH</w:t>
                            </w:r>
                          </w:p>
                          <w:p>
                            <w:pPr>
                              <w:spacing w:before="0"/>
                              <w:ind w:right="-45"/>
                              <w:jc w:val="center"/>
                              <w:rPr>
                                <w:rFonts w:ascii="Verdana" w:hAnsi="Verdana" w:cs="Times New Roman"/>
                                <w:iCs/>
                                <w:color w:val="365F91"/>
                                <w:sz w:val="40"/>
                                <w:szCs w:val="40"/>
                              </w:rPr>
                            </w:pPr>
                            <w:r>
                              <w:rPr>
                                <w:rFonts w:ascii="Verdana" w:hAnsi="Verdana" w:cs="Times New Roman"/>
                                <w:iCs/>
                                <w:color w:val="365F91"/>
                                <w:sz w:val="40"/>
                                <w:szCs w:val="40"/>
                              </w:rPr>
                              <w:t>Spécifications des interfaces sortantes de INGRES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E0BE" id="_x0000_t202" coordsize="21600,21600" o:spt="202" path="m,l,21600r21600,l21600,xe">
                <v:stroke joinstyle="miter"/>
                <v:path gradientshapeok="t" o:connecttype="rect"/>
              </v:shapetype>
              <v:shape id="Text Box 12" o:spid="_x0000_s1026" type="#_x0000_t202" style="position:absolute;margin-left:-19.5pt;margin-top:28pt;width:491.4pt;height:206.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" strokecolor="#4f81bd" strokeweight="2.5pt">
                <v:fill opacity="0"/>
                <v:shadow color="#868686"/>
                <v:textbox>
                  <w:txbxContent>
                    <w:p w:rsidR="00FA450F" w:rsidRPr="00136AAA" w:rsidRDefault="00FA450F" w:rsidP="009423B6">
                      <w:pPr>
                        <w:spacing w:before="0"/>
                        <w:ind w:right="-45"/>
                        <w:jc w:val="center"/>
                        <w:rPr>
                          <w:rFonts w:ascii="Verdana" w:hAnsi="Verdana" w:cs="Times New Roman"/>
                          <w:b/>
                          <w:iCs/>
                          <w:color w:val="004272"/>
                          <w:sz w:val="16"/>
                          <w:szCs w:val="16"/>
                        </w:rPr>
                      </w:pPr>
                    </w:p>
                    <w:p w:rsidR="00FA450F" w:rsidRPr="00C417EA" w:rsidRDefault="00FA450F" w:rsidP="009423B6">
                      <w:pPr>
                        <w:spacing w:before="0"/>
                        <w:ind w:right="-45"/>
                        <w:jc w:val="center"/>
                        <w:rPr>
                          <w:rFonts w:ascii="Verdana" w:hAnsi="Verdana" w:cs="Times New Roman"/>
                          <w:b/>
                          <w:iCs/>
                          <w:color w:val="365F91"/>
                          <w:sz w:val="16"/>
                          <w:szCs w:val="16"/>
                        </w:rPr>
                      </w:pPr>
                    </w:p>
                    <w:p w:rsidR="00FA450F" w:rsidRDefault="00FA450F" w:rsidP="009423B6">
                      <w:pPr>
                        <w:spacing w:before="0"/>
                        <w:ind w:right="-45"/>
                        <w:jc w:val="center"/>
                        <w:rPr>
                          <w:rFonts w:ascii="Verdana" w:hAnsi="Verdana" w:cs="Times New Roman"/>
                          <w:iCs/>
                          <w:color w:val="365F91"/>
                          <w:sz w:val="40"/>
                          <w:szCs w:val="40"/>
                        </w:rPr>
                      </w:pPr>
                      <w:r w:rsidRPr="00B3645B">
                        <w:rPr>
                          <w:rFonts w:ascii="Verdana" w:hAnsi="Verdana" w:cs="Times New Roman"/>
                          <w:iCs/>
                          <w:color w:val="365F91"/>
                          <w:sz w:val="40"/>
                          <w:szCs w:val="40"/>
                        </w:rPr>
                        <w:t>Projet SIRH</w:t>
                      </w:r>
                    </w:p>
                    <w:p w:rsidR="00FA450F" w:rsidRPr="00EE6493" w:rsidRDefault="00FA450F" w:rsidP="009423B6">
                      <w:pPr>
                        <w:spacing w:before="0"/>
                        <w:ind w:right="-45"/>
                        <w:jc w:val="center"/>
                        <w:rPr>
                          <w:rFonts w:ascii="Verdana" w:hAnsi="Verdana" w:cs="Times New Roman"/>
                          <w:iCs/>
                          <w:color w:val="365F91"/>
                          <w:sz w:val="40"/>
                          <w:szCs w:val="40"/>
                        </w:rPr>
                      </w:pPr>
                      <w:r w:rsidRPr="00EE6493">
                        <w:rPr>
                          <w:rFonts w:ascii="Verdana" w:hAnsi="Verdana" w:cs="Times New Roman"/>
                          <w:iCs/>
                          <w:color w:val="365F91"/>
                          <w:sz w:val="40"/>
                          <w:szCs w:val="40"/>
                        </w:rPr>
                        <w:t xml:space="preserve">Spécifications </w:t>
                      </w:r>
                      <w:r>
                        <w:rPr>
                          <w:rFonts w:ascii="Verdana" w:hAnsi="Verdana" w:cs="Times New Roman"/>
                          <w:iCs/>
                          <w:color w:val="365F91"/>
                          <w:sz w:val="40"/>
                          <w:szCs w:val="40"/>
                        </w:rPr>
                        <w:t>des i</w:t>
                      </w:r>
                      <w:r w:rsidRPr="00EE6493">
                        <w:rPr>
                          <w:rFonts w:ascii="Verdana" w:hAnsi="Verdana" w:cs="Times New Roman"/>
                          <w:iCs/>
                          <w:color w:val="365F91"/>
                          <w:sz w:val="40"/>
                          <w:szCs w:val="40"/>
                        </w:rPr>
                        <w:t xml:space="preserve">nterfaces </w:t>
                      </w:r>
                      <w:r>
                        <w:rPr>
                          <w:rFonts w:ascii="Verdana" w:hAnsi="Verdana" w:cs="Times New Roman"/>
                          <w:iCs/>
                          <w:color w:val="365F91"/>
                          <w:sz w:val="40"/>
                          <w:szCs w:val="40"/>
                        </w:rPr>
                        <w:t>sortantes de INGRES</w:t>
                      </w:r>
                    </w:p>
                  </w:txbxContent>
                </v:textbox>
                <w10:wrap type="topAndBottom"/>
              </v:shape>
            </w:pict>
          </mc:Fallback>
        </mc:AlternateContent>
      </w:r>
    </w:p>
    <w:p>
      <w:pPr>
        <w:tabs>
          <w:tab w:val="left" w:pos="0"/>
        </w:tabs>
      </w:pPr>
      <w:r>
        <w:rPr>
          <w:noProof/>
          <w:lang w:eastAsia="fr-FR"/>
        </w:rPr>
        <w:drawing>
          <wp:anchor distT="0" distB="0" distL="114300" distR="114300" simplePos="0" relativeHeight="251700224" behindDoc="0" locked="0" layoutInCell="1" allowOverlap="1">
            <wp:simplePos x="0" y="0"/>
            <wp:positionH relativeFrom="column">
              <wp:posOffset>-257175</wp:posOffset>
            </wp:positionH>
            <wp:positionV relativeFrom="paragraph">
              <wp:posOffset>3072130</wp:posOffset>
            </wp:positionV>
            <wp:extent cx="1790700" cy="1047750"/>
            <wp:effectExtent l="0" t="0" r="0" b="0"/>
            <wp:wrapThrough wrapText="bothSides">
              <wp:wrapPolygon edited="0">
                <wp:start x="0" y="0"/>
                <wp:lineTo x="0" y="21207"/>
                <wp:lineTo x="21370" y="21207"/>
                <wp:lineTo x="2137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center" w:tblpY="798"/>
        <w:tblW w:w="11818" w:type="dxa"/>
        <w:tblLook w:val="04A0" w:firstRow="1" w:lastRow="0" w:firstColumn="1" w:lastColumn="0" w:noHBand="0" w:noVBand="1"/>
      </w:tblPr>
      <w:tblGrid>
        <w:gridCol w:w="3833"/>
        <w:gridCol w:w="7985"/>
      </w:tblGrid>
      <w:tr>
        <w:tc>
          <w:tcPr>
            <w:tcW w:w="3833" w:type="dxa"/>
            <w:shd w:val="clear" w:color="auto" w:fill="auto"/>
          </w:tcPr>
          <w:p>
            <w:pPr>
              <w:tabs>
                <w:tab w:val="left" w:pos="0"/>
              </w:tabs>
              <w:ind w:left="1"/>
            </w:pPr>
          </w:p>
        </w:tc>
        <w:tc>
          <w:tcPr>
            <w:tcW w:w="7985" w:type="dxa"/>
            <w:shd w:val="clear" w:color="auto" w:fill="auto"/>
          </w:tcPr>
          <w:p>
            <w:pPr>
              <w:tabs>
                <w:tab w:val="left" w:pos="0"/>
              </w:tabs>
              <w:rPr>
                <w:b/>
              </w:rPr>
            </w:pPr>
            <w:r>
              <w:rPr>
                <w:b/>
                <w:noProof/>
                <w:lang w:eastAsia="fr-FR"/>
              </w:rPr>
              <w:drawing>
                <wp:anchor distT="0" distB="0" distL="114300" distR="114300" simplePos="0" relativeHeight="251702272" behindDoc="0" locked="0" layoutInCell="1" allowOverlap="1">
                  <wp:simplePos x="0" y="0"/>
                  <wp:positionH relativeFrom="column">
                    <wp:posOffset>2724</wp:posOffset>
                  </wp:positionH>
                  <wp:positionV relativeFrom="paragraph">
                    <wp:posOffset>213</wp:posOffset>
                  </wp:positionV>
                  <wp:extent cx="4429125" cy="638175"/>
                  <wp:effectExtent l="0" t="0" r="0" b="0"/>
                  <wp:wrapThrough wrapText="bothSides">
                    <wp:wrapPolygon edited="0">
                      <wp:start x="557" y="1934"/>
                      <wp:lineTo x="372" y="11606"/>
                      <wp:lineTo x="372" y="17409"/>
                      <wp:lineTo x="13471" y="17409"/>
                      <wp:lineTo x="13471" y="13540"/>
                      <wp:lineTo x="18766" y="9027"/>
                      <wp:lineTo x="19045" y="4513"/>
                      <wp:lineTo x="17094" y="1934"/>
                      <wp:lineTo x="557" y="1934"/>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0"/>
              </w:tabs>
              <w:rPr>
                <w:b/>
              </w:rPr>
            </w:pPr>
          </w:p>
          <w:p>
            <w:pPr>
              <w:tabs>
                <w:tab w:val="left" w:pos="0"/>
              </w:tabs>
              <w:rPr>
                <w:b/>
              </w:rPr>
            </w:pPr>
          </w:p>
        </w:tc>
      </w:tr>
    </w:tbl>
    <w:p>
      <w:pPr>
        <w:tabs>
          <w:tab w:val="left" w:pos="0"/>
        </w:tabs>
        <w:ind w:left="738"/>
      </w:pPr>
    </w:p>
    <w:p>
      <w:pPr>
        <w:ind w:left="738"/>
        <w:rPr>
          <w:b/>
          <w:bCs/>
        </w:rPr>
        <w:sectPr>
          <w:headerReference w:type="default" r:id="rId13"/>
          <w:footnotePr>
            <w:pos w:val="beneathText"/>
          </w:footnotePr>
          <w:pgSz w:w="11905" w:h="16837"/>
          <w:pgMar w:top="284" w:right="1418" w:bottom="1418" w:left="1440" w:header="709" w:footer="0" w:gutter="0"/>
          <w:cols w:space="720"/>
          <w:titlePg/>
          <w:docGrid w:linePitch="360"/>
        </w:sectPr>
      </w:pPr>
    </w:p>
    <w:p>
      <w:pPr>
        <w:pStyle w:val="TITRE0"/>
        <w:numPr>
          <w:ilvl w:val="0"/>
          <w:numId w:val="0"/>
        </w:numPr>
        <w:ind w:left="795"/>
      </w:pPr>
      <w:bookmarkStart w:id="2" w:name="_Toc20761120"/>
      <w:bookmarkEnd w:id="0"/>
      <w:bookmarkEnd w:id="1"/>
      <w:r>
        <w:lastRenderedPageBreak/>
        <w:t>SOMMAIRE</w:t>
      </w:r>
      <w:bookmarkEnd w:id="2"/>
    </w:p>
    <w:p>
      <w:pPr>
        <w:pStyle w:val="TM1"/>
        <w:rPr>
          <w:rFonts w:asciiTheme="minorHAnsi" w:eastAsiaTheme="minorEastAsia" w:hAnsiTheme="minorHAnsi" w:cstheme="minorBidi"/>
          <w:b w:val="0"/>
          <w:noProof/>
          <w:szCs w:val="22"/>
          <w:lang w:eastAsia="fr-FR"/>
        </w:rPr>
      </w:pPr>
      <w:r>
        <w:fldChar w:fldCharType="begin"/>
      </w:r>
      <w:r>
        <w:instrText xml:space="preserve"> TOC \o "1-2" \h \z \u </w:instrText>
      </w:r>
      <w:r>
        <w:fldChar w:fldCharType="separate"/>
      </w:r>
      <w:hyperlink w:anchor="_Toc20761120" w:history="1">
        <w:r>
          <w:rPr>
            <w:rStyle w:val="Lienhypertexte"/>
            <w:noProof/>
          </w:rPr>
          <w:t>SOMMAIRE</w:t>
        </w:r>
        <w:r>
          <w:rPr>
            <w:noProof/>
            <w:webHidden/>
          </w:rPr>
          <w:tab/>
        </w:r>
        <w:r>
          <w:rPr>
            <w:noProof/>
            <w:webHidden/>
          </w:rPr>
          <w:fldChar w:fldCharType="begin"/>
        </w:r>
        <w:r>
          <w:rPr>
            <w:noProof/>
            <w:webHidden/>
          </w:rPr>
          <w:instrText xml:space="preserve"> PAGEREF _Toc20761120 \h </w:instrText>
        </w:r>
        <w:r>
          <w:rPr>
            <w:noProof/>
            <w:webHidden/>
          </w:rPr>
        </w:r>
        <w:r>
          <w:rPr>
            <w:noProof/>
            <w:webHidden/>
          </w:rPr>
          <w:fldChar w:fldCharType="separate"/>
        </w:r>
        <w:r>
          <w:rPr>
            <w:noProof/>
            <w:webHidden/>
          </w:rPr>
          <w:t>2</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21" w:history="1">
        <w:r>
          <w:rPr>
            <w:rStyle w:val="Lienhypertexte"/>
            <w:noProof/>
          </w:rPr>
          <w:t>1</w:t>
        </w:r>
        <w:r>
          <w:rPr>
            <w:rFonts w:asciiTheme="minorHAnsi" w:eastAsiaTheme="minorEastAsia" w:hAnsiTheme="minorHAnsi" w:cstheme="minorBidi"/>
            <w:b w:val="0"/>
            <w:noProof/>
            <w:szCs w:val="22"/>
            <w:lang w:eastAsia="fr-FR"/>
          </w:rPr>
          <w:tab/>
        </w:r>
        <w:r>
          <w:rPr>
            <w:rStyle w:val="Lienhypertexte"/>
            <w:noProof/>
          </w:rPr>
          <w:t>Contexte</w:t>
        </w:r>
        <w:r>
          <w:rPr>
            <w:noProof/>
            <w:webHidden/>
          </w:rPr>
          <w:tab/>
        </w:r>
        <w:r>
          <w:rPr>
            <w:noProof/>
            <w:webHidden/>
          </w:rPr>
          <w:fldChar w:fldCharType="begin"/>
        </w:r>
        <w:r>
          <w:rPr>
            <w:noProof/>
            <w:webHidden/>
          </w:rPr>
          <w:instrText xml:space="preserve"> PAGEREF _Toc20761121 \h </w:instrText>
        </w:r>
        <w:r>
          <w:rPr>
            <w:noProof/>
            <w:webHidden/>
          </w:rPr>
        </w:r>
        <w:r>
          <w:rPr>
            <w:noProof/>
            <w:webHidden/>
          </w:rPr>
          <w:fldChar w:fldCharType="separate"/>
        </w:r>
        <w:r>
          <w:rPr>
            <w:noProof/>
            <w:webHidden/>
          </w:rPr>
          <w:t>4</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22" w:history="1">
        <w:r>
          <w:rPr>
            <w:rStyle w:val="Lienhypertexte"/>
            <w:noProof/>
          </w:rPr>
          <w:t>2</w:t>
        </w:r>
        <w:r>
          <w:rPr>
            <w:rFonts w:asciiTheme="minorHAnsi" w:eastAsiaTheme="minorEastAsia" w:hAnsiTheme="minorHAnsi" w:cstheme="minorBidi"/>
            <w:b w:val="0"/>
            <w:noProof/>
            <w:szCs w:val="22"/>
            <w:lang w:eastAsia="fr-FR"/>
          </w:rPr>
          <w:tab/>
        </w:r>
        <w:r>
          <w:rPr>
            <w:rStyle w:val="Lienhypertexte"/>
            <w:noProof/>
          </w:rPr>
          <w:t>Objet du document</w:t>
        </w:r>
        <w:r>
          <w:rPr>
            <w:noProof/>
            <w:webHidden/>
          </w:rPr>
          <w:tab/>
        </w:r>
        <w:r>
          <w:rPr>
            <w:noProof/>
            <w:webHidden/>
          </w:rPr>
          <w:fldChar w:fldCharType="begin"/>
        </w:r>
        <w:r>
          <w:rPr>
            <w:noProof/>
            <w:webHidden/>
          </w:rPr>
          <w:instrText xml:space="preserve"> PAGEREF _Toc20761122 \h </w:instrText>
        </w:r>
        <w:r>
          <w:rPr>
            <w:noProof/>
            <w:webHidden/>
          </w:rPr>
        </w:r>
        <w:r>
          <w:rPr>
            <w:noProof/>
            <w:webHidden/>
          </w:rPr>
          <w:fldChar w:fldCharType="separate"/>
        </w:r>
        <w:r>
          <w:rPr>
            <w:noProof/>
            <w:webHidden/>
          </w:rPr>
          <w:t>6</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23" w:history="1">
        <w:r>
          <w:rPr>
            <w:rStyle w:val="Lienhypertexte"/>
            <w:noProof/>
          </w:rPr>
          <w:t>3</w:t>
        </w:r>
        <w:r>
          <w:rPr>
            <w:rFonts w:asciiTheme="minorHAnsi" w:eastAsiaTheme="minorEastAsia" w:hAnsiTheme="minorHAnsi" w:cstheme="minorBidi"/>
            <w:b w:val="0"/>
            <w:noProof/>
            <w:szCs w:val="22"/>
            <w:lang w:eastAsia="fr-FR"/>
          </w:rPr>
          <w:tab/>
        </w:r>
        <w:r>
          <w:rPr>
            <w:rStyle w:val="Lienhypertexte"/>
            <w:noProof/>
          </w:rPr>
          <w:t>Présentation des nomenclatures</w:t>
        </w:r>
        <w:r>
          <w:rPr>
            <w:noProof/>
            <w:webHidden/>
          </w:rPr>
          <w:tab/>
        </w:r>
        <w:r>
          <w:rPr>
            <w:noProof/>
            <w:webHidden/>
          </w:rPr>
          <w:fldChar w:fldCharType="begin"/>
        </w:r>
        <w:r>
          <w:rPr>
            <w:noProof/>
            <w:webHidden/>
          </w:rPr>
          <w:instrText xml:space="preserve"> PAGEREF _Toc20761123 \h </w:instrText>
        </w:r>
        <w:r>
          <w:rPr>
            <w:noProof/>
            <w:webHidden/>
          </w:rPr>
        </w:r>
        <w:r>
          <w:rPr>
            <w:noProof/>
            <w:webHidden/>
          </w:rPr>
          <w:fldChar w:fldCharType="separate"/>
        </w:r>
        <w:r>
          <w:rPr>
            <w:noProof/>
            <w:webHidden/>
          </w:rPr>
          <w:t>7</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4" w:history="1">
        <w:r>
          <w:rPr>
            <w:rStyle w:val="Lienhypertexte"/>
            <w:noProof/>
          </w:rPr>
          <w:t>3.1</w:t>
        </w:r>
        <w:r>
          <w:rPr>
            <w:rFonts w:asciiTheme="minorHAnsi" w:eastAsiaTheme="minorEastAsia" w:hAnsiTheme="minorHAnsi" w:cstheme="minorBidi"/>
            <w:noProof/>
            <w:szCs w:val="22"/>
            <w:lang w:eastAsia="fr-FR"/>
          </w:rPr>
          <w:tab/>
        </w:r>
        <w:r>
          <w:rPr>
            <w:rStyle w:val="Lienhypertexte"/>
            <w:noProof/>
          </w:rPr>
          <w:t>Généralités</w:t>
        </w:r>
        <w:r>
          <w:rPr>
            <w:noProof/>
            <w:webHidden/>
          </w:rPr>
          <w:tab/>
        </w:r>
        <w:r>
          <w:rPr>
            <w:noProof/>
            <w:webHidden/>
          </w:rPr>
          <w:fldChar w:fldCharType="begin"/>
        </w:r>
        <w:r>
          <w:rPr>
            <w:noProof/>
            <w:webHidden/>
          </w:rPr>
          <w:instrText xml:space="preserve"> PAGEREF _Toc20761124 \h </w:instrText>
        </w:r>
        <w:r>
          <w:rPr>
            <w:noProof/>
            <w:webHidden/>
          </w:rPr>
        </w:r>
        <w:r>
          <w:rPr>
            <w:noProof/>
            <w:webHidden/>
          </w:rPr>
          <w:fldChar w:fldCharType="separate"/>
        </w:r>
        <w:r>
          <w:rPr>
            <w:noProof/>
            <w:webHidden/>
          </w:rPr>
          <w:t>7</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5" w:history="1">
        <w:r>
          <w:rPr>
            <w:rStyle w:val="Lienhypertexte"/>
            <w:noProof/>
          </w:rPr>
          <w:t>3.2</w:t>
        </w:r>
        <w:r>
          <w:rPr>
            <w:rFonts w:asciiTheme="minorHAnsi" w:eastAsiaTheme="minorEastAsia" w:hAnsiTheme="minorHAnsi" w:cstheme="minorBidi"/>
            <w:noProof/>
            <w:szCs w:val="22"/>
            <w:lang w:eastAsia="fr-FR"/>
          </w:rPr>
          <w:tab/>
        </w:r>
        <w:r>
          <w:rPr>
            <w:rStyle w:val="Lienhypertexte"/>
            <w:noProof/>
          </w:rPr>
          <w:t>Structure des nomenclatures</w:t>
        </w:r>
        <w:r>
          <w:rPr>
            <w:noProof/>
            <w:webHidden/>
          </w:rPr>
          <w:tab/>
        </w:r>
        <w:r>
          <w:rPr>
            <w:noProof/>
            <w:webHidden/>
          </w:rPr>
          <w:fldChar w:fldCharType="begin"/>
        </w:r>
        <w:r>
          <w:rPr>
            <w:noProof/>
            <w:webHidden/>
          </w:rPr>
          <w:instrText xml:space="preserve"> PAGEREF _Toc20761125 \h </w:instrText>
        </w:r>
        <w:r>
          <w:rPr>
            <w:noProof/>
            <w:webHidden/>
          </w:rPr>
        </w:r>
        <w:r>
          <w:rPr>
            <w:noProof/>
            <w:webHidden/>
          </w:rPr>
          <w:fldChar w:fldCharType="separate"/>
        </w:r>
        <w:r>
          <w:rPr>
            <w:noProof/>
            <w:webHidden/>
          </w:rPr>
          <w:t>8</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6" w:history="1">
        <w:r>
          <w:rPr>
            <w:rStyle w:val="Lienhypertexte"/>
            <w:noProof/>
          </w:rPr>
          <w:t>3.3</w:t>
        </w:r>
        <w:r>
          <w:rPr>
            <w:rFonts w:asciiTheme="minorHAnsi" w:eastAsiaTheme="minorEastAsia" w:hAnsiTheme="minorHAnsi" w:cstheme="minorBidi"/>
            <w:noProof/>
            <w:szCs w:val="22"/>
            <w:lang w:eastAsia="fr-FR"/>
          </w:rPr>
          <w:tab/>
        </w:r>
        <w:r>
          <w:rPr>
            <w:rStyle w:val="Lienhypertexte"/>
            <w:noProof/>
          </w:rPr>
          <w:t>Contenu des nomenclatures</w:t>
        </w:r>
        <w:r>
          <w:rPr>
            <w:noProof/>
            <w:webHidden/>
          </w:rPr>
          <w:tab/>
        </w:r>
        <w:r>
          <w:rPr>
            <w:noProof/>
            <w:webHidden/>
          </w:rPr>
          <w:fldChar w:fldCharType="begin"/>
        </w:r>
        <w:r>
          <w:rPr>
            <w:noProof/>
            <w:webHidden/>
          </w:rPr>
          <w:instrText xml:space="preserve"> PAGEREF _Toc20761126 \h </w:instrText>
        </w:r>
        <w:r>
          <w:rPr>
            <w:noProof/>
            <w:webHidden/>
          </w:rPr>
        </w:r>
        <w:r>
          <w:rPr>
            <w:noProof/>
            <w:webHidden/>
          </w:rPr>
          <w:fldChar w:fldCharType="separate"/>
        </w:r>
        <w:r>
          <w:rPr>
            <w:noProof/>
            <w:webHidden/>
          </w:rPr>
          <w:t>15</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27" w:history="1">
        <w:r>
          <w:rPr>
            <w:rStyle w:val="Lienhypertexte"/>
            <w:noProof/>
          </w:rPr>
          <w:t>4</w:t>
        </w:r>
        <w:r>
          <w:rPr>
            <w:rFonts w:asciiTheme="minorHAnsi" w:eastAsiaTheme="minorEastAsia" w:hAnsiTheme="minorHAnsi" w:cstheme="minorBidi"/>
            <w:b w:val="0"/>
            <w:noProof/>
            <w:szCs w:val="22"/>
            <w:lang w:eastAsia="fr-FR"/>
          </w:rPr>
          <w:tab/>
        </w:r>
        <w:r>
          <w:rPr>
            <w:rStyle w:val="Lienhypertexte"/>
            <w:noProof/>
          </w:rPr>
          <w:t>Constitution des fichiers INGRES</w:t>
        </w:r>
        <w:r>
          <w:rPr>
            <w:noProof/>
            <w:webHidden/>
          </w:rPr>
          <w:tab/>
        </w:r>
        <w:r>
          <w:rPr>
            <w:noProof/>
            <w:webHidden/>
          </w:rPr>
          <w:fldChar w:fldCharType="begin"/>
        </w:r>
        <w:r>
          <w:rPr>
            <w:noProof/>
            <w:webHidden/>
          </w:rPr>
          <w:instrText xml:space="preserve"> PAGEREF _Toc20761127 \h </w:instrText>
        </w:r>
        <w:r>
          <w:rPr>
            <w:noProof/>
            <w:webHidden/>
          </w:rPr>
        </w:r>
        <w:r>
          <w:rPr>
            <w:noProof/>
            <w:webHidden/>
          </w:rPr>
          <w:fldChar w:fldCharType="separate"/>
        </w:r>
        <w:r>
          <w:rPr>
            <w:noProof/>
            <w:webHidden/>
          </w:rPr>
          <w:t>23</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8" w:history="1">
        <w:r>
          <w:rPr>
            <w:rStyle w:val="Lienhypertexte"/>
            <w:noProof/>
          </w:rPr>
          <w:t>4.1</w:t>
        </w:r>
        <w:r>
          <w:rPr>
            <w:rFonts w:asciiTheme="minorHAnsi" w:eastAsiaTheme="minorEastAsia" w:hAnsiTheme="minorHAnsi" w:cstheme="minorBidi"/>
            <w:noProof/>
            <w:szCs w:val="22"/>
            <w:lang w:eastAsia="fr-FR"/>
          </w:rPr>
          <w:tab/>
        </w:r>
        <w:r>
          <w:rPr>
            <w:rStyle w:val="Lienhypertexte"/>
            <w:noProof/>
          </w:rPr>
          <w:t>Principes structurants</w:t>
        </w:r>
        <w:r>
          <w:rPr>
            <w:noProof/>
            <w:webHidden/>
          </w:rPr>
          <w:tab/>
        </w:r>
        <w:r>
          <w:rPr>
            <w:noProof/>
            <w:webHidden/>
          </w:rPr>
          <w:fldChar w:fldCharType="begin"/>
        </w:r>
        <w:r>
          <w:rPr>
            <w:noProof/>
            <w:webHidden/>
          </w:rPr>
          <w:instrText xml:space="preserve"> PAGEREF _Toc20761128 \h </w:instrText>
        </w:r>
        <w:r>
          <w:rPr>
            <w:noProof/>
            <w:webHidden/>
          </w:rPr>
        </w:r>
        <w:r>
          <w:rPr>
            <w:noProof/>
            <w:webHidden/>
          </w:rPr>
          <w:fldChar w:fldCharType="separate"/>
        </w:r>
        <w:r>
          <w:rPr>
            <w:noProof/>
            <w:webHidden/>
          </w:rPr>
          <w:t>23</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9" w:history="1">
        <w:r>
          <w:rPr>
            <w:rStyle w:val="Lienhypertexte"/>
            <w:noProof/>
          </w:rPr>
          <w:t>4.2</w:t>
        </w:r>
        <w:r>
          <w:rPr>
            <w:rFonts w:asciiTheme="minorHAnsi" w:eastAsiaTheme="minorEastAsia" w:hAnsiTheme="minorHAnsi" w:cstheme="minorBidi"/>
            <w:noProof/>
            <w:szCs w:val="22"/>
            <w:lang w:eastAsia="fr-FR"/>
          </w:rPr>
          <w:tab/>
        </w:r>
        <w:r>
          <w:rPr>
            <w:rStyle w:val="Lienhypertexte"/>
            <w:noProof/>
          </w:rPr>
          <w:t>Structure des fichiers</w:t>
        </w:r>
        <w:r>
          <w:rPr>
            <w:noProof/>
            <w:webHidden/>
          </w:rPr>
          <w:tab/>
        </w:r>
        <w:r>
          <w:rPr>
            <w:noProof/>
            <w:webHidden/>
          </w:rPr>
          <w:fldChar w:fldCharType="begin"/>
        </w:r>
        <w:r>
          <w:rPr>
            <w:noProof/>
            <w:webHidden/>
          </w:rPr>
          <w:instrText xml:space="preserve"> PAGEREF _Toc20761129 \h </w:instrText>
        </w:r>
        <w:r>
          <w:rPr>
            <w:noProof/>
            <w:webHidden/>
          </w:rPr>
        </w:r>
        <w:r>
          <w:rPr>
            <w:noProof/>
            <w:webHidden/>
          </w:rPr>
          <w:fldChar w:fldCharType="separate"/>
        </w:r>
        <w:r>
          <w:rPr>
            <w:noProof/>
            <w:webHidden/>
          </w:rPr>
          <w:t>27</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0" w:history="1">
        <w:r>
          <w:rPr>
            <w:rStyle w:val="Lienhypertexte"/>
            <w:noProof/>
          </w:rPr>
          <w:t>4.3</w:t>
        </w:r>
        <w:r>
          <w:rPr>
            <w:rFonts w:asciiTheme="minorHAnsi" w:eastAsiaTheme="minorEastAsia" w:hAnsiTheme="minorHAnsi" w:cstheme="minorBidi"/>
            <w:noProof/>
            <w:szCs w:val="22"/>
            <w:lang w:eastAsia="fr-FR"/>
          </w:rPr>
          <w:tab/>
        </w:r>
        <w:r>
          <w:rPr>
            <w:rStyle w:val="Lienhypertexte"/>
            <w:noProof/>
          </w:rPr>
          <w:t>Nomenclatures diffusées</w:t>
        </w:r>
        <w:r>
          <w:rPr>
            <w:noProof/>
            <w:webHidden/>
          </w:rPr>
          <w:tab/>
        </w:r>
        <w:r>
          <w:rPr>
            <w:noProof/>
            <w:webHidden/>
          </w:rPr>
          <w:fldChar w:fldCharType="begin"/>
        </w:r>
        <w:r>
          <w:rPr>
            <w:noProof/>
            <w:webHidden/>
          </w:rPr>
          <w:instrText xml:space="preserve"> PAGEREF _Toc20761130 \h </w:instrText>
        </w:r>
        <w:r>
          <w:rPr>
            <w:noProof/>
            <w:webHidden/>
          </w:rPr>
        </w:r>
        <w:r>
          <w:rPr>
            <w:noProof/>
            <w:webHidden/>
          </w:rPr>
          <w:fldChar w:fldCharType="separate"/>
        </w:r>
        <w:r>
          <w:rPr>
            <w:noProof/>
            <w:webHidden/>
          </w:rPr>
          <w:t>32</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1" w:history="1">
        <w:r>
          <w:rPr>
            <w:rStyle w:val="Lienhypertexte"/>
            <w:noProof/>
          </w:rPr>
          <w:t>4.4</w:t>
        </w:r>
        <w:r>
          <w:rPr>
            <w:rFonts w:asciiTheme="minorHAnsi" w:eastAsiaTheme="minorEastAsia" w:hAnsiTheme="minorHAnsi" w:cstheme="minorBidi"/>
            <w:noProof/>
            <w:szCs w:val="22"/>
            <w:lang w:eastAsia="fr-FR"/>
          </w:rPr>
          <w:tab/>
        </w:r>
        <w:r>
          <w:rPr>
            <w:rStyle w:val="Lienhypertexte"/>
            <w:noProof/>
          </w:rPr>
          <w:t>Description des différents formats de diffusion</w:t>
        </w:r>
        <w:r>
          <w:rPr>
            <w:noProof/>
            <w:webHidden/>
          </w:rPr>
          <w:tab/>
        </w:r>
        <w:r>
          <w:rPr>
            <w:noProof/>
            <w:webHidden/>
          </w:rPr>
          <w:fldChar w:fldCharType="begin"/>
        </w:r>
        <w:r>
          <w:rPr>
            <w:noProof/>
            <w:webHidden/>
          </w:rPr>
          <w:instrText xml:space="preserve"> PAGEREF _Toc20761131 \h </w:instrText>
        </w:r>
        <w:r>
          <w:rPr>
            <w:noProof/>
            <w:webHidden/>
          </w:rPr>
        </w:r>
        <w:r>
          <w:rPr>
            <w:noProof/>
            <w:webHidden/>
          </w:rPr>
          <w:fldChar w:fldCharType="separate"/>
        </w:r>
        <w:r>
          <w:rPr>
            <w:noProof/>
            <w:webHidden/>
          </w:rPr>
          <w:t>35</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2" w:history="1">
        <w:r>
          <w:rPr>
            <w:rStyle w:val="Lienhypertexte"/>
            <w:noProof/>
          </w:rPr>
          <w:t>4.5</w:t>
        </w:r>
        <w:r>
          <w:rPr>
            <w:rFonts w:asciiTheme="minorHAnsi" w:eastAsiaTheme="minorEastAsia" w:hAnsiTheme="minorHAnsi" w:cstheme="minorBidi"/>
            <w:noProof/>
            <w:szCs w:val="22"/>
            <w:lang w:eastAsia="fr-FR"/>
          </w:rPr>
          <w:tab/>
        </w:r>
        <w:r>
          <w:rPr>
            <w:rStyle w:val="Lienhypertexte"/>
            <w:noProof/>
          </w:rPr>
          <w:t>Règles de constitution des fichiers INGRES</w:t>
        </w:r>
        <w:r>
          <w:rPr>
            <w:noProof/>
            <w:webHidden/>
          </w:rPr>
          <w:tab/>
        </w:r>
        <w:r>
          <w:rPr>
            <w:noProof/>
            <w:webHidden/>
          </w:rPr>
          <w:fldChar w:fldCharType="begin"/>
        </w:r>
        <w:r>
          <w:rPr>
            <w:noProof/>
            <w:webHidden/>
          </w:rPr>
          <w:instrText xml:space="preserve"> PAGEREF _Toc20761132 \h </w:instrText>
        </w:r>
        <w:r>
          <w:rPr>
            <w:noProof/>
            <w:webHidden/>
          </w:rPr>
        </w:r>
        <w:r>
          <w:rPr>
            <w:noProof/>
            <w:webHidden/>
          </w:rPr>
          <w:fldChar w:fldCharType="separate"/>
        </w:r>
        <w:r>
          <w:rPr>
            <w:noProof/>
            <w:webHidden/>
          </w:rPr>
          <w:t>40</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33" w:history="1">
        <w:r>
          <w:rPr>
            <w:rStyle w:val="Lienhypertexte"/>
            <w:noProof/>
          </w:rPr>
          <w:t>5</w:t>
        </w:r>
        <w:r>
          <w:rPr>
            <w:rFonts w:asciiTheme="minorHAnsi" w:eastAsiaTheme="minorEastAsia" w:hAnsiTheme="minorHAnsi" w:cstheme="minorBidi"/>
            <w:b w:val="0"/>
            <w:noProof/>
            <w:szCs w:val="22"/>
            <w:lang w:eastAsia="fr-FR"/>
          </w:rPr>
          <w:tab/>
        </w:r>
        <w:r>
          <w:rPr>
            <w:rStyle w:val="Lienhypertexte"/>
            <w:noProof/>
          </w:rPr>
          <w:t>Description technique des interfaces de diffusion</w:t>
        </w:r>
        <w:r>
          <w:rPr>
            <w:noProof/>
            <w:webHidden/>
          </w:rPr>
          <w:tab/>
        </w:r>
        <w:r>
          <w:rPr>
            <w:noProof/>
            <w:webHidden/>
          </w:rPr>
          <w:fldChar w:fldCharType="begin"/>
        </w:r>
        <w:r>
          <w:rPr>
            <w:noProof/>
            <w:webHidden/>
          </w:rPr>
          <w:instrText xml:space="preserve"> PAGEREF _Toc20761133 \h </w:instrText>
        </w:r>
        <w:r>
          <w:rPr>
            <w:noProof/>
            <w:webHidden/>
          </w:rPr>
        </w:r>
        <w:r>
          <w:rPr>
            <w:noProof/>
            <w:webHidden/>
          </w:rPr>
          <w:fldChar w:fldCharType="separate"/>
        </w:r>
        <w:r>
          <w:rPr>
            <w:noProof/>
            <w:webHidden/>
          </w:rPr>
          <w:t>46</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4" w:history="1">
        <w:r>
          <w:rPr>
            <w:rStyle w:val="Lienhypertexte"/>
            <w:noProof/>
          </w:rPr>
          <w:t>5.1</w:t>
        </w:r>
        <w:r>
          <w:rPr>
            <w:rFonts w:asciiTheme="minorHAnsi" w:eastAsiaTheme="minorEastAsia" w:hAnsiTheme="minorHAnsi" w:cstheme="minorBidi"/>
            <w:noProof/>
            <w:szCs w:val="22"/>
            <w:lang w:eastAsia="fr-FR"/>
          </w:rPr>
          <w:tab/>
        </w:r>
        <w:r>
          <w:rPr>
            <w:rStyle w:val="Lienhypertexte"/>
            <w:noProof/>
          </w:rPr>
          <w:t>Vision globale</w:t>
        </w:r>
        <w:r>
          <w:rPr>
            <w:noProof/>
            <w:webHidden/>
          </w:rPr>
          <w:tab/>
        </w:r>
        <w:r>
          <w:rPr>
            <w:noProof/>
            <w:webHidden/>
          </w:rPr>
          <w:fldChar w:fldCharType="begin"/>
        </w:r>
        <w:r>
          <w:rPr>
            <w:noProof/>
            <w:webHidden/>
          </w:rPr>
          <w:instrText xml:space="preserve"> PAGEREF _Toc20761134 \h </w:instrText>
        </w:r>
        <w:r>
          <w:rPr>
            <w:noProof/>
            <w:webHidden/>
          </w:rPr>
        </w:r>
        <w:r>
          <w:rPr>
            <w:noProof/>
            <w:webHidden/>
          </w:rPr>
          <w:fldChar w:fldCharType="separate"/>
        </w:r>
        <w:r>
          <w:rPr>
            <w:noProof/>
            <w:webHidden/>
          </w:rPr>
          <w:t>46</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5" w:history="1">
        <w:r>
          <w:rPr>
            <w:rStyle w:val="Lienhypertexte"/>
            <w:noProof/>
          </w:rPr>
          <w:t>5.2</w:t>
        </w:r>
        <w:r>
          <w:rPr>
            <w:rFonts w:asciiTheme="minorHAnsi" w:eastAsiaTheme="minorEastAsia" w:hAnsiTheme="minorHAnsi" w:cstheme="minorBidi"/>
            <w:noProof/>
            <w:szCs w:val="22"/>
            <w:lang w:eastAsia="fr-FR"/>
          </w:rPr>
          <w:tab/>
        </w:r>
        <w:r>
          <w:rPr>
            <w:rStyle w:val="Lienhypertexte"/>
            <w:noProof/>
          </w:rPr>
          <w:t>Périmètre du document</w:t>
        </w:r>
        <w:r>
          <w:rPr>
            <w:noProof/>
            <w:webHidden/>
          </w:rPr>
          <w:tab/>
        </w:r>
        <w:r>
          <w:rPr>
            <w:noProof/>
            <w:webHidden/>
          </w:rPr>
          <w:fldChar w:fldCharType="begin"/>
        </w:r>
        <w:r>
          <w:rPr>
            <w:noProof/>
            <w:webHidden/>
          </w:rPr>
          <w:instrText xml:space="preserve"> PAGEREF _Toc20761135 \h </w:instrText>
        </w:r>
        <w:r>
          <w:rPr>
            <w:noProof/>
            <w:webHidden/>
          </w:rPr>
        </w:r>
        <w:r>
          <w:rPr>
            <w:noProof/>
            <w:webHidden/>
          </w:rPr>
          <w:fldChar w:fldCharType="separate"/>
        </w:r>
        <w:r>
          <w:rPr>
            <w:noProof/>
            <w:webHidden/>
          </w:rPr>
          <w:t>46</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6" w:history="1">
        <w:r>
          <w:rPr>
            <w:rStyle w:val="Lienhypertexte"/>
            <w:noProof/>
          </w:rPr>
          <w:t>5.3</w:t>
        </w:r>
        <w:r>
          <w:rPr>
            <w:rFonts w:asciiTheme="minorHAnsi" w:eastAsiaTheme="minorEastAsia" w:hAnsiTheme="minorHAnsi" w:cstheme="minorBidi"/>
            <w:noProof/>
            <w:szCs w:val="22"/>
            <w:lang w:eastAsia="fr-FR"/>
          </w:rPr>
          <w:tab/>
        </w:r>
        <w:r>
          <w:rPr>
            <w:rStyle w:val="Lienhypertexte"/>
            <w:noProof/>
          </w:rPr>
          <w:t>SI clients</w:t>
        </w:r>
        <w:r>
          <w:rPr>
            <w:noProof/>
            <w:webHidden/>
          </w:rPr>
          <w:tab/>
        </w:r>
        <w:r>
          <w:rPr>
            <w:noProof/>
            <w:webHidden/>
          </w:rPr>
          <w:fldChar w:fldCharType="begin"/>
        </w:r>
        <w:r>
          <w:rPr>
            <w:noProof/>
            <w:webHidden/>
          </w:rPr>
          <w:instrText xml:space="preserve"> PAGEREF _Toc20761136 \h </w:instrText>
        </w:r>
        <w:r>
          <w:rPr>
            <w:noProof/>
            <w:webHidden/>
          </w:rPr>
        </w:r>
        <w:r>
          <w:rPr>
            <w:noProof/>
            <w:webHidden/>
          </w:rPr>
          <w:fldChar w:fldCharType="separate"/>
        </w:r>
        <w:r>
          <w:rPr>
            <w:noProof/>
            <w:webHidden/>
          </w:rPr>
          <w:t>46</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7" w:history="1">
        <w:r>
          <w:rPr>
            <w:rStyle w:val="Lienhypertexte"/>
            <w:noProof/>
          </w:rPr>
          <w:t>5.4</w:t>
        </w:r>
        <w:r>
          <w:rPr>
            <w:rFonts w:asciiTheme="minorHAnsi" w:eastAsiaTheme="minorEastAsia" w:hAnsiTheme="minorHAnsi" w:cstheme="minorBidi"/>
            <w:noProof/>
            <w:szCs w:val="22"/>
            <w:lang w:eastAsia="fr-FR"/>
          </w:rPr>
          <w:tab/>
        </w:r>
        <w:r>
          <w:rPr>
            <w:rStyle w:val="Lienhypertexte"/>
            <w:noProof/>
          </w:rPr>
          <w:t>Description des interfaces</w:t>
        </w:r>
        <w:r>
          <w:rPr>
            <w:noProof/>
            <w:webHidden/>
          </w:rPr>
          <w:tab/>
        </w:r>
        <w:r>
          <w:rPr>
            <w:noProof/>
            <w:webHidden/>
          </w:rPr>
          <w:fldChar w:fldCharType="begin"/>
        </w:r>
        <w:r>
          <w:rPr>
            <w:noProof/>
            <w:webHidden/>
          </w:rPr>
          <w:instrText xml:space="preserve"> PAGEREF _Toc20761137 \h </w:instrText>
        </w:r>
        <w:r>
          <w:rPr>
            <w:noProof/>
            <w:webHidden/>
          </w:rPr>
        </w:r>
        <w:r>
          <w:rPr>
            <w:noProof/>
            <w:webHidden/>
          </w:rPr>
          <w:fldChar w:fldCharType="separate"/>
        </w:r>
        <w:r>
          <w:rPr>
            <w:noProof/>
            <w:webHidden/>
          </w:rPr>
          <w:t>47</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38" w:history="1">
        <w:r>
          <w:rPr>
            <w:rStyle w:val="Lienhypertexte"/>
            <w:noProof/>
          </w:rPr>
          <w:t>6</w:t>
        </w:r>
        <w:r>
          <w:rPr>
            <w:rFonts w:asciiTheme="minorHAnsi" w:eastAsiaTheme="minorEastAsia" w:hAnsiTheme="minorHAnsi" w:cstheme="minorBidi"/>
            <w:b w:val="0"/>
            <w:noProof/>
            <w:szCs w:val="22"/>
            <w:lang w:eastAsia="fr-FR"/>
          </w:rPr>
          <w:tab/>
        </w:r>
        <w:r>
          <w:rPr>
            <w:rStyle w:val="Lienhypertexte"/>
            <w:noProof/>
          </w:rPr>
          <w:t>Annexe - Exemples de fichiers</w:t>
        </w:r>
        <w:r>
          <w:rPr>
            <w:noProof/>
            <w:webHidden/>
          </w:rPr>
          <w:tab/>
        </w:r>
        <w:r>
          <w:rPr>
            <w:noProof/>
            <w:webHidden/>
          </w:rPr>
          <w:fldChar w:fldCharType="begin"/>
        </w:r>
        <w:r>
          <w:rPr>
            <w:noProof/>
            <w:webHidden/>
          </w:rPr>
          <w:instrText xml:space="preserve"> PAGEREF _Toc20761138 \h </w:instrText>
        </w:r>
        <w:r>
          <w:rPr>
            <w:noProof/>
            <w:webHidden/>
          </w:rPr>
        </w:r>
        <w:r>
          <w:rPr>
            <w:noProof/>
            <w:webHidden/>
          </w:rPr>
          <w:fldChar w:fldCharType="separate"/>
        </w:r>
        <w:r>
          <w:rPr>
            <w:noProof/>
            <w:webHidden/>
          </w:rPr>
          <w:t>51</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9" w:history="1">
        <w:r>
          <w:rPr>
            <w:rStyle w:val="Lienhypertexte"/>
            <w:noProof/>
          </w:rPr>
          <w:t>6.1</w:t>
        </w:r>
        <w:r>
          <w:rPr>
            <w:rFonts w:asciiTheme="minorHAnsi" w:eastAsiaTheme="minorEastAsia" w:hAnsiTheme="minorHAnsi" w:cstheme="minorBidi"/>
            <w:noProof/>
            <w:szCs w:val="22"/>
            <w:lang w:eastAsia="fr-FR"/>
          </w:rPr>
          <w:tab/>
        </w:r>
        <w:r>
          <w:rPr>
            <w:rStyle w:val="Lienhypertexte"/>
            <w:noProof/>
          </w:rPr>
          <w:t>Fichier « Chapeau »</w:t>
        </w:r>
        <w:r>
          <w:rPr>
            <w:noProof/>
            <w:webHidden/>
          </w:rPr>
          <w:tab/>
        </w:r>
        <w:r>
          <w:rPr>
            <w:noProof/>
            <w:webHidden/>
          </w:rPr>
          <w:fldChar w:fldCharType="begin"/>
        </w:r>
        <w:r>
          <w:rPr>
            <w:noProof/>
            <w:webHidden/>
          </w:rPr>
          <w:instrText xml:space="preserve"> PAGEREF _Toc20761139 \h </w:instrText>
        </w:r>
        <w:r>
          <w:rPr>
            <w:noProof/>
            <w:webHidden/>
          </w:rPr>
        </w:r>
        <w:r>
          <w:rPr>
            <w:noProof/>
            <w:webHidden/>
          </w:rPr>
          <w:fldChar w:fldCharType="separate"/>
        </w:r>
        <w:r>
          <w:rPr>
            <w:noProof/>
            <w:webHidden/>
          </w:rPr>
          <w:t>51</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40" w:history="1">
        <w:r>
          <w:rPr>
            <w:rStyle w:val="Lienhypertexte"/>
            <w:noProof/>
          </w:rPr>
          <w:t>6.2</w:t>
        </w:r>
        <w:r>
          <w:rPr>
            <w:rFonts w:asciiTheme="minorHAnsi" w:eastAsiaTheme="minorEastAsia" w:hAnsiTheme="minorHAnsi" w:cstheme="minorBidi"/>
            <w:noProof/>
            <w:szCs w:val="22"/>
            <w:lang w:eastAsia="fr-FR"/>
          </w:rPr>
          <w:tab/>
        </w:r>
        <w:r>
          <w:rPr>
            <w:rStyle w:val="Lienhypertexte"/>
            <w:noProof/>
          </w:rPr>
          <w:t>Fichiers « Référentiel » en mode différentiel</w:t>
        </w:r>
        <w:r>
          <w:rPr>
            <w:noProof/>
            <w:webHidden/>
          </w:rPr>
          <w:tab/>
        </w:r>
        <w:r>
          <w:rPr>
            <w:noProof/>
            <w:webHidden/>
          </w:rPr>
          <w:fldChar w:fldCharType="begin"/>
        </w:r>
        <w:r>
          <w:rPr>
            <w:noProof/>
            <w:webHidden/>
          </w:rPr>
          <w:instrText xml:space="preserve"> PAGEREF _Toc20761140 \h </w:instrText>
        </w:r>
        <w:r>
          <w:rPr>
            <w:noProof/>
            <w:webHidden/>
          </w:rPr>
        </w:r>
        <w:r>
          <w:rPr>
            <w:noProof/>
            <w:webHidden/>
          </w:rPr>
          <w:fldChar w:fldCharType="separate"/>
        </w:r>
        <w:r>
          <w:rPr>
            <w:noProof/>
            <w:webHidden/>
          </w:rPr>
          <w:t>51</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41" w:history="1">
        <w:r>
          <w:rPr>
            <w:rStyle w:val="Lienhypertexte"/>
            <w:noProof/>
          </w:rPr>
          <w:t>6.3</w:t>
        </w:r>
        <w:r>
          <w:rPr>
            <w:rFonts w:asciiTheme="minorHAnsi" w:eastAsiaTheme="minorEastAsia" w:hAnsiTheme="minorHAnsi" w:cstheme="minorBidi"/>
            <w:noProof/>
            <w:szCs w:val="22"/>
            <w:lang w:eastAsia="fr-FR"/>
          </w:rPr>
          <w:tab/>
        </w:r>
        <w:r>
          <w:rPr>
            <w:rStyle w:val="Lienhypertexte"/>
            <w:noProof/>
          </w:rPr>
          <w:t>Fichier « Référentiel » en mode complet</w:t>
        </w:r>
        <w:r>
          <w:rPr>
            <w:noProof/>
            <w:webHidden/>
          </w:rPr>
          <w:tab/>
        </w:r>
        <w:r>
          <w:rPr>
            <w:noProof/>
            <w:webHidden/>
          </w:rPr>
          <w:fldChar w:fldCharType="begin"/>
        </w:r>
        <w:r>
          <w:rPr>
            <w:noProof/>
            <w:webHidden/>
          </w:rPr>
          <w:instrText xml:space="preserve"> PAGEREF _Toc20761141 \h </w:instrText>
        </w:r>
        <w:r>
          <w:rPr>
            <w:noProof/>
            <w:webHidden/>
          </w:rPr>
        </w:r>
        <w:r>
          <w:rPr>
            <w:noProof/>
            <w:webHidden/>
          </w:rPr>
          <w:fldChar w:fldCharType="separate"/>
        </w:r>
        <w:r>
          <w:rPr>
            <w:noProof/>
            <w:webHidden/>
          </w:rPr>
          <w:t>53</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42" w:history="1">
        <w:r>
          <w:rPr>
            <w:rStyle w:val="Lienhypertexte"/>
            <w:noProof/>
          </w:rPr>
          <w:t>6.4</w:t>
        </w:r>
        <w:r>
          <w:rPr>
            <w:rFonts w:asciiTheme="minorHAnsi" w:eastAsiaTheme="minorEastAsia" w:hAnsiTheme="minorHAnsi" w:cstheme="minorBidi"/>
            <w:noProof/>
            <w:szCs w:val="22"/>
            <w:lang w:eastAsia="fr-FR"/>
          </w:rPr>
          <w:tab/>
        </w:r>
        <w:r>
          <w:rPr>
            <w:rStyle w:val="Lienhypertexte"/>
            <w:noProof/>
          </w:rPr>
          <w:t>Fichiers « Référentiel » produits au format 00.04.00 à la suite d’une mise à jour des référentiels de classification centraux</w:t>
        </w:r>
        <w:r>
          <w:rPr>
            <w:noProof/>
            <w:webHidden/>
          </w:rPr>
          <w:tab/>
        </w:r>
        <w:r>
          <w:rPr>
            <w:noProof/>
            <w:webHidden/>
          </w:rPr>
          <w:fldChar w:fldCharType="begin"/>
        </w:r>
        <w:r>
          <w:rPr>
            <w:noProof/>
            <w:webHidden/>
          </w:rPr>
          <w:instrText xml:space="preserve"> PAGEREF _Toc20761142 \h </w:instrText>
        </w:r>
        <w:r>
          <w:rPr>
            <w:noProof/>
            <w:webHidden/>
          </w:rPr>
        </w:r>
        <w:r>
          <w:rPr>
            <w:noProof/>
            <w:webHidden/>
          </w:rPr>
          <w:fldChar w:fldCharType="separate"/>
        </w:r>
        <w:r>
          <w:rPr>
            <w:noProof/>
            <w:webHidden/>
          </w:rPr>
          <w:t>54</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43" w:history="1">
        <w:r>
          <w:rPr>
            <w:rStyle w:val="Lienhypertexte"/>
            <w:noProof/>
          </w:rPr>
          <w:t>6.5</w:t>
        </w:r>
        <w:r>
          <w:rPr>
            <w:rFonts w:asciiTheme="minorHAnsi" w:eastAsiaTheme="minorEastAsia" w:hAnsiTheme="minorHAnsi" w:cstheme="minorBidi"/>
            <w:noProof/>
            <w:szCs w:val="22"/>
            <w:lang w:eastAsia="fr-FR"/>
          </w:rPr>
          <w:tab/>
        </w:r>
        <w:r>
          <w:rPr>
            <w:rStyle w:val="Lienhypertexte"/>
            <w:noProof/>
          </w:rPr>
          <w:t>Fichiers « Référentiel » produits au format 00.05.10 à la suite d’une mise à jour des référentiels de classification centraux</w:t>
        </w:r>
        <w:r>
          <w:rPr>
            <w:noProof/>
            <w:webHidden/>
          </w:rPr>
          <w:tab/>
        </w:r>
        <w:r>
          <w:rPr>
            <w:noProof/>
            <w:webHidden/>
          </w:rPr>
          <w:fldChar w:fldCharType="begin"/>
        </w:r>
        <w:r>
          <w:rPr>
            <w:noProof/>
            <w:webHidden/>
          </w:rPr>
          <w:instrText xml:space="preserve"> PAGEREF _Toc20761143 \h </w:instrText>
        </w:r>
        <w:r>
          <w:rPr>
            <w:noProof/>
            <w:webHidden/>
          </w:rPr>
        </w:r>
        <w:r>
          <w:rPr>
            <w:noProof/>
            <w:webHidden/>
          </w:rPr>
          <w:fldChar w:fldCharType="separate"/>
        </w:r>
        <w:r>
          <w:rPr>
            <w:noProof/>
            <w:webHidden/>
          </w:rPr>
          <w:t>60</w:t>
        </w:r>
        <w:r>
          <w:rPr>
            <w:noProof/>
            <w:webHidden/>
          </w:rPr>
          <w:fldChar w:fldCharType="end"/>
        </w:r>
      </w:hyperlink>
    </w:p>
    <w:p>
      <w:pPr>
        <w:tabs>
          <w:tab w:val="right" w:leader="dot" w:pos="9072"/>
        </w:tabs>
        <w:ind w:left="738"/>
        <w:jc w:val="center"/>
      </w:pPr>
      <w:r>
        <w:rPr>
          <w:rFonts w:ascii="(Utiliser une police de caractè" w:hAnsi="(Utiliser une police de caractè" w:cs="Arial Gras"/>
        </w:rPr>
        <w:fldChar w:fldCharType="end"/>
      </w:r>
    </w:p>
    <w:p>
      <w:pPr>
        <w:ind w:left="738"/>
        <w:jc w:val="center"/>
        <w:rPr>
          <w:b/>
          <w:sz w:val="32"/>
          <w:szCs w:val="32"/>
        </w:rPr>
      </w:pPr>
      <w:r>
        <w:rPr>
          <w:b/>
          <w:sz w:val="32"/>
          <w:szCs w:val="32"/>
        </w:rPr>
        <w:br w:type="page"/>
      </w:r>
      <w:r>
        <w:rPr>
          <w:b/>
          <w:sz w:val="32"/>
          <w:szCs w:val="32"/>
        </w:rPr>
        <w:lastRenderedPageBreak/>
        <w:t>Suivi des modifications</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134"/>
        <w:gridCol w:w="2410"/>
        <w:gridCol w:w="4961"/>
      </w:tblGrid>
      <w:tr>
        <w:trPr>
          <w:cantSplit/>
          <w:tblHeader/>
        </w:trPr>
        <w:tc>
          <w:tcPr>
            <w:tcW w:w="1164" w:type="dxa"/>
            <w:shd w:val="clear" w:color="auto" w:fill="B8CCE4"/>
          </w:tcPr>
          <w:p>
            <w:pPr>
              <w:pStyle w:val="En-tte"/>
              <w:jc w:val="center"/>
              <w:rPr>
                <w:rFonts w:cs="CG Times (W1)"/>
                <w:b/>
                <w:sz w:val="18"/>
                <w:szCs w:val="18"/>
              </w:rPr>
            </w:pPr>
            <w:r>
              <w:rPr>
                <w:rFonts w:cs="CG Times (W1)"/>
                <w:b/>
                <w:sz w:val="18"/>
                <w:szCs w:val="18"/>
              </w:rPr>
              <w:t>Version</w:t>
            </w:r>
          </w:p>
        </w:tc>
        <w:tc>
          <w:tcPr>
            <w:tcW w:w="1134" w:type="dxa"/>
            <w:shd w:val="clear" w:color="auto" w:fill="B8CCE4"/>
          </w:tcPr>
          <w:p>
            <w:pPr>
              <w:pStyle w:val="En-tte"/>
              <w:jc w:val="center"/>
              <w:rPr>
                <w:rFonts w:cs="CG Times (W1)"/>
                <w:b/>
                <w:sz w:val="18"/>
                <w:szCs w:val="18"/>
              </w:rPr>
            </w:pPr>
            <w:r>
              <w:rPr>
                <w:rFonts w:cs="CG Times (W1)"/>
                <w:b/>
                <w:sz w:val="18"/>
                <w:szCs w:val="18"/>
              </w:rPr>
              <w:t>Date</w:t>
            </w:r>
          </w:p>
        </w:tc>
        <w:tc>
          <w:tcPr>
            <w:tcW w:w="2410" w:type="dxa"/>
            <w:shd w:val="clear" w:color="auto" w:fill="B8CCE4"/>
          </w:tcPr>
          <w:p>
            <w:pPr>
              <w:pStyle w:val="En-tte"/>
              <w:jc w:val="center"/>
              <w:rPr>
                <w:rFonts w:cs="CG Times (W1)"/>
                <w:b/>
                <w:sz w:val="18"/>
                <w:szCs w:val="18"/>
              </w:rPr>
            </w:pPr>
            <w:r>
              <w:rPr>
                <w:rFonts w:cs="CG Times (W1)"/>
                <w:b/>
                <w:sz w:val="18"/>
                <w:szCs w:val="18"/>
              </w:rPr>
              <w:t>Emetteur</w:t>
            </w:r>
          </w:p>
        </w:tc>
        <w:tc>
          <w:tcPr>
            <w:tcW w:w="4961" w:type="dxa"/>
            <w:shd w:val="clear" w:color="auto" w:fill="B8CCE4"/>
          </w:tcPr>
          <w:p>
            <w:pPr>
              <w:pStyle w:val="En-tte"/>
              <w:jc w:val="center"/>
              <w:rPr>
                <w:rFonts w:cs="CG Times (W1)"/>
                <w:b/>
                <w:sz w:val="18"/>
                <w:szCs w:val="18"/>
              </w:rPr>
            </w:pPr>
            <w:r>
              <w:rPr>
                <w:rFonts w:cs="CG Times (W1)"/>
                <w:b/>
                <w:sz w:val="18"/>
                <w:szCs w:val="18"/>
              </w:rPr>
              <w:t>Suivi des modifications</w:t>
            </w:r>
          </w:p>
        </w:tc>
      </w:tr>
      <w:tr>
        <w:tc>
          <w:tcPr>
            <w:tcW w:w="1164" w:type="dxa"/>
            <w:shd w:val="clear" w:color="auto" w:fill="auto"/>
          </w:tcPr>
          <w:p>
            <w:pPr>
              <w:pStyle w:val="En-tte"/>
              <w:jc w:val="center"/>
              <w:rPr>
                <w:rFonts w:cs="CG Times (W1)"/>
                <w:sz w:val="18"/>
                <w:szCs w:val="18"/>
              </w:rPr>
            </w:pPr>
            <w:r>
              <w:rPr>
                <w:rFonts w:cs="CG Times (W1)"/>
                <w:sz w:val="18"/>
                <w:szCs w:val="18"/>
              </w:rPr>
              <w:t>V0.1</w:t>
            </w:r>
          </w:p>
        </w:tc>
        <w:tc>
          <w:tcPr>
            <w:tcW w:w="1134" w:type="dxa"/>
            <w:shd w:val="clear" w:color="auto" w:fill="auto"/>
          </w:tcPr>
          <w:p>
            <w:pPr>
              <w:pStyle w:val="En-tte"/>
              <w:rPr>
                <w:rFonts w:cs="CG Times (W1)"/>
                <w:sz w:val="18"/>
                <w:szCs w:val="18"/>
              </w:rPr>
            </w:pPr>
            <w:r>
              <w:rPr>
                <w:rFonts w:cs="CG Times (W1)"/>
                <w:sz w:val="18"/>
                <w:szCs w:val="18"/>
              </w:rPr>
              <w:t>31/07/2015</w:t>
            </w:r>
          </w:p>
        </w:tc>
        <w:tc>
          <w:tcPr>
            <w:tcW w:w="2410" w:type="dxa"/>
            <w:shd w:val="clear" w:color="auto" w:fill="auto"/>
          </w:tcPr>
          <w:p>
            <w:pPr>
              <w:pStyle w:val="En-tte"/>
              <w:jc w:val="center"/>
              <w:rPr>
                <w:rFonts w:cs="CG Times (W1)"/>
                <w:sz w:val="18"/>
                <w:szCs w:val="18"/>
              </w:rPr>
            </w:pPr>
            <w:r>
              <w:rPr>
                <w:rFonts w:cs="CG Times (W1)"/>
                <w:sz w:val="18"/>
                <w:szCs w:val="18"/>
              </w:rPr>
              <w:t>Nestor ABRAHAM</w:t>
            </w:r>
          </w:p>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Version initiale</w:t>
            </w:r>
          </w:p>
        </w:tc>
      </w:tr>
      <w:tr>
        <w:tc>
          <w:tcPr>
            <w:tcW w:w="1164" w:type="dxa"/>
            <w:shd w:val="clear" w:color="auto" w:fill="auto"/>
          </w:tcPr>
          <w:p>
            <w:pPr>
              <w:pStyle w:val="En-tte"/>
              <w:jc w:val="center"/>
              <w:rPr>
                <w:rFonts w:cs="CG Times (W1)"/>
                <w:sz w:val="18"/>
                <w:szCs w:val="18"/>
              </w:rPr>
            </w:pPr>
            <w:r>
              <w:rPr>
                <w:rFonts w:cs="CG Times (W1)"/>
                <w:sz w:val="18"/>
                <w:szCs w:val="18"/>
              </w:rPr>
              <w:t>V0.2</w:t>
            </w:r>
          </w:p>
        </w:tc>
        <w:tc>
          <w:tcPr>
            <w:tcW w:w="1134" w:type="dxa"/>
            <w:shd w:val="clear" w:color="auto" w:fill="auto"/>
          </w:tcPr>
          <w:p>
            <w:pPr>
              <w:pStyle w:val="En-tte"/>
              <w:rPr>
                <w:rFonts w:cs="CG Times (W1)"/>
                <w:sz w:val="18"/>
                <w:szCs w:val="18"/>
              </w:rPr>
            </w:pPr>
            <w:r>
              <w:rPr>
                <w:rFonts w:cs="CG Times (W1)"/>
                <w:sz w:val="18"/>
                <w:szCs w:val="18"/>
              </w:rPr>
              <w:t>25/11/2015</w:t>
            </w:r>
          </w:p>
        </w:tc>
        <w:tc>
          <w:tcPr>
            <w:tcW w:w="2410" w:type="dxa"/>
            <w:shd w:val="clear" w:color="auto" w:fill="auto"/>
          </w:tcPr>
          <w:p>
            <w:pPr>
              <w:pStyle w:val="En-tte"/>
              <w:jc w:val="center"/>
              <w:rPr>
                <w:rFonts w:cs="CG Times (W1)"/>
                <w:sz w:val="18"/>
                <w:szCs w:val="18"/>
              </w:rPr>
            </w:pPr>
            <w:r>
              <w:rPr>
                <w:rFonts w:cs="CG Times (W1)"/>
                <w:sz w:val="18"/>
                <w:szCs w:val="18"/>
              </w:rPr>
              <w:t>Jérôme MARCQ</w:t>
            </w:r>
          </w:p>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Compléments et corrections apportés suite à la recette de la version 2.00 de INGRES</w:t>
            </w:r>
          </w:p>
        </w:tc>
      </w:tr>
      <w:tr>
        <w:tc>
          <w:tcPr>
            <w:tcW w:w="1164" w:type="dxa"/>
            <w:shd w:val="clear" w:color="auto" w:fill="auto"/>
          </w:tcPr>
          <w:p>
            <w:pPr>
              <w:pStyle w:val="En-tte"/>
              <w:jc w:val="center"/>
              <w:rPr>
                <w:rFonts w:cs="CG Times (W1)"/>
                <w:sz w:val="18"/>
                <w:szCs w:val="18"/>
              </w:rPr>
            </w:pPr>
            <w:r>
              <w:rPr>
                <w:rFonts w:cs="CG Times (W1)"/>
                <w:sz w:val="18"/>
                <w:szCs w:val="18"/>
              </w:rPr>
              <w:t>V0.3</w:t>
            </w:r>
          </w:p>
        </w:tc>
        <w:tc>
          <w:tcPr>
            <w:tcW w:w="1134" w:type="dxa"/>
            <w:shd w:val="clear" w:color="auto" w:fill="auto"/>
          </w:tcPr>
          <w:p>
            <w:pPr>
              <w:pStyle w:val="En-tte"/>
              <w:rPr>
                <w:rFonts w:cs="CG Times (W1)"/>
                <w:sz w:val="18"/>
                <w:szCs w:val="18"/>
              </w:rPr>
            </w:pPr>
            <w:r>
              <w:rPr>
                <w:rFonts w:cs="CG Times (W1)"/>
                <w:sz w:val="18"/>
                <w:szCs w:val="18"/>
              </w:rPr>
              <w:t>27/11/2015</w:t>
            </w:r>
          </w:p>
        </w:tc>
        <w:tc>
          <w:tcPr>
            <w:tcW w:w="2410" w:type="dxa"/>
            <w:shd w:val="clear" w:color="auto" w:fill="auto"/>
          </w:tcPr>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Correction apportée à la description du format de la nomenclature IMPACT_REMU en 00.05.10</w:t>
            </w:r>
          </w:p>
        </w:tc>
      </w:tr>
      <w:tr>
        <w:tc>
          <w:tcPr>
            <w:tcW w:w="1164" w:type="dxa"/>
            <w:shd w:val="clear" w:color="auto" w:fill="auto"/>
          </w:tcPr>
          <w:p>
            <w:pPr>
              <w:pStyle w:val="En-tte"/>
              <w:jc w:val="center"/>
              <w:rPr>
                <w:rFonts w:cs="CG Times (W1)"/>
                <w:sz w:val="18"/>
                <w:szCs w:val="18"/>
              </w:rPr>
            </w:pPr>
            <w:r>
              <w:rPr>
                <w:rFonts w:cs="CG Times (W1)"/>
                <w:sz w:val="18"/>
                <w:szCs w:val="18"/>
              </w:rPr>
              <w:t>V0.4</w:t>
            </w:r>
          </w:p>
        </w:tc>
        <w:tc>
          <w:tcPr>
            <w:tcW w:w="1134" w:type="dxa"/>
            <w:shd w:val="clear" w:color="auto" w:fill="auto"/>
          </w:tcPr>
          <w:p>
            <w:pPr>
              <w:pStyle w:val="En-tte"/>
              <w:rPr>
                <w:rFonts w:cs="CG Times (W1)"/>
                <w:sz w:val="18"/>
                <w:szCs w:val="18"/>
              </w:rPr>
            </w:pPr>
            <w:r>
              <w:rPr>
                <w:rFonts w:cs="CG Times (W1)"/>
                <w:sz w:val="18"/>
                <w:szCs w:val="18"/>
              </w:rPr>
              <w:t>08/07/2016</w:t>
            </w:r>
          </w:p>
        </w:tc>
        <w:tc>
          <w:tcPr>
            <w:tcW w:w="2410" w:type="dxa"/>
            <w:shd w:val="clear" w:color="auto" w:fill="auto"/>
          </w:tcPr>
          <w:p>
            <w:pPr>
              <w:pStyle w:val="En-tte"/>
              <w:jc w:val="center"/>
              <w:rPr>
                <w:rFonts w:cs="CG Times (W1)"/>
                <w:sz w:val="18"/>
                <w:szCs w:val="18"/>
              </w:rPr>
            </w:pPr>
            <w:r>
              <w:rPr>
                <w:rFonts w:cs="CG Times (W1)"/>
                <w:sz w:val="18"/>
                <w:szCs w:val="18"/>
              </w:rPr>
              <w:t>Jérôme MARCQ</w:t>
            </w:r>
          </w:p>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Compléments apportés en lien avec la publication de la version V16.00.00 du DDD</w:t>
            </w:r>
          </w:p>
          <w:p>
            <w:pPr>
              <w:pStyle w:val="En-tte"/>
              <w:jc w:val="center"/>
              <w:rPr>
                <w:rFonts w:cs="CG Times (W1)"/>
                <w:sz w:val="18"/>
                <w:szCs w:val="18"/>
              </w:rPr>
            </w:pPr>
            <w:r>
              <w:rPr>
                <w:rFonts w:cs="CG Times (W1)"/>
                <w:sz w:val="18"/>
                <w:szCs w:val="18"/>
              </w:rPr>
              <w:t>Ce document décrit les interfaces sortantes de la V2.2 de INGRES</w:t>
            </w:r>
          </w:p>
          <w:p>
            <w:pPr>
              <w:pStyle w:val="En-tte"/>
              <w:jc w:val="center"/>
              <w:rPr>
                <w:rFonts w:cs="CG Times (W1)"/>
                <w:sz w:val="18"/>
                <w:szCs w:val="18"/>
              </w:rPr>
            </w:pPr>
            <w:r>
              <w:rPr>
                <w:rFonts w:cs="CG Times (W1)"/>
                <w:sz w:val="18"/>
                <w:szCs w:val="18"/>
              </w:rPr>
              <w:t>Les fichiers XSD décrivant le format des fichiers XML produits ont été revus de façon à ce que les écarts entre deux formats de diffusion puissent être aisément identifiables via un outil de comparaison de documents (les formats créés en 00.05.10 apparaissent dorénavant à la suite de ceux présents en 00.04.00 et ceux définis en 16.00.00 succèdent à ceux décrits en 00.05.10)</w:t>
            </w:r>
          </w:p>
        </w:tc>
      </w:tr>
      <w:tr>
        <w:tc>
          <w:tcPr>
            <w:tcW w:w="1164" w:type="dxa"/>
            <w:shd w:val="clear" w:color="auto" w:fill="auto"/>
          </w:tcPr>
          <w:p>
            <w:pPr>
              <w:pStyle w:val="En-tte"/>
              <w:jc w:val="center"/>
              <w:rPr>
                <w:rFonts w:cs="CG Times (W1)"/>
                <w:sz w:val="18"/>
                <w:szCs w:val="18"/>
              </w:rPr>
            </w:pPr>
            <w:r>
              <w:rPr>
                <w:rFonts w:cs="CG Times (W1)"/>
                <w:sz w:val="18"/>
                <w:szCs w:val="18"/>
              </w:rPr>
              <w:t>V0.5</w:t>
            </w:r>
          </w:p>
        </w:tc>
        <w:tc>
          <w:tcPr>
            <w:tcW w:w="1134" w:type="dxa"/>
            <w:shd w:val="clear" w:color="auto" w:fill="auto"/>
          </w:tcPr>
          <w:p>
            <w:pPr>
              <w:pStyle w:val="En-tte"/>
              <w:rPr>
                <w:rFonts w:cs="CG Times (W1)"/>
                <w:sz w:val="18"/>
                <w:szCs w:val="18"/>
              </w:rPr>
            </w:pPr>
            <w:r>
              <w:rPr>
                <w:rFonts w:cs="CG Times (W1)"/>
                <w:sz w:val="18"/>
                <w:szCs w:val="18"/>
              </w:rPr>
              <w:t>11/07/2016</w:t>
            </w:r>
          </w:p>
        </w:tc>
        <w:tc>
          <w:tcPr>
            <w:tcW w:w="2410" w:type="dxa"/>
            <w:shd w:val="clear" w:color="auto" w:fill="auto"/>
          </w:tcPr>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Correction apportée au fichier Liste des nomenclatures V2.2.xlsx qui décrivait la nomenclature TYP_EXPOSITION comme vide à tort</w:t>
            </w:r>
          </w:p>
        </w:tc>
      </w:tr>
      <w:tr>
        <w:tc>
          <w:tcPr>
            <w:tcW w:w="1164" w:type="dxa"/>
            <w:shd w:val="clear" w:color="auto" w:fill="auto"/>
          </w:tcPr>
          <w:p>
            <w:pPr>
              <w:pStyle w:val="En-tte"/>
              <w:jc w:val="center"/>
              <w:rPr>
                <w:rFonts w:cs="CG Times (W1)"/>
                <w:sz w:val="18"/>
                <w:szCs w:val="18"/>
              </w:rPr>
            </w:pPr>
            <w:r>
              <w:rPr>
                <w:rFonts w:cs="CG Times (W1)"/>
                <w:sz w:val="18"/>
                <w:szCs w:val="18"/>
              </w:rPr>
              <w:t>V0.6</w:t>
            </w:r>
          </w:p>
        </w:tc>
        <w:tc>
          <w:tcPr>
            <w:tcW w:w="1134" w:type="dxa"/>
            <w:shd w:val="clear" w:color="auto" w:fill="auto"/>
          </w:tcPr>
          <w:p>
            <w:pPr>
              <w:pStyle w:val="En-tte"/>
              <w:rPr>
                <w:rFonts w:cs="CG Times (W1)"/>
                <w:sz w:val="18"/>
                <w:szCs w:val="18"/>
              </w:rPr>
            </w:pPr>
            <w:r>
              <w:rPr>
                <w:rFonts w:cs="CG Times (W1)"/>
                <w:sz w:val="18"/>
                <w:szCs w:val="18"/>
              </w:rPr>
              <w:t>04/01/2016</w:t>
            </w:r>
          </w:p>
        </w:tc>
        <w:tc>
          <w:tcPr>
            <w:tcW w:w="2410" w:type="dxa"/>
            <w:shd w:val="clear" w:color="auto" w:fill="auto"/>
          </w:tcPr>
          <w:p>
            <w:pPr>
              <w:pStyle w:val="En-tte"/>
              <w:jc w:val="center"/>
              <w:rPr>
                <w:rFonts w:cs="CG Times (W1)"/>
                <w:sz w:val="18"/>
                <w:szCs w:val="18"/>
              </w:rPr>
            </w:pPr>
            <w:r>
              <w:rPr>
                <w:rFonts w:cs="CG Times (W1)"/>
                <w:sz w:val="18"/>
                <w:szCs w:val="18"/>
              </w:rPr>
              <w:t>Nicolas AUGEREAU</w:t>
            </w:r>
          </w:p>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V3.1 de Ingres : Mise à jour des liens vers les fichiers Excel (liste et formats des nomenclatures)</w:t>
            </w:r>
          </w:p>
        </w:tc>
      </w:tr>
      <w:tr>
        <w:tc>
          <w:tcPr>
            <w:tcW w:w="1164" w:type="dxa"/>
            <w:shd w:val="clear" w:color="auto" w:fill="auto"/>
          </w:tcPr>
          <w:p>
            <w:pPr>
              <w:pStyle w:val="En-tte"/>
              <w:jc w:val="center"/>
              <w:rPr>
                <w:rFonts w:cs="CG Times (W1)"/>
                <w:sz w:val="18"/>
                <w:szCs w:val="18"/>
              </w:rPr>
            </w:pPr>
            <w:r>
              <w:rPr>
                <w:rFonts w:cs="CG Times (W1)"/>
                <w:sz w:val="18"/>
                <w:szCs w:val="18"/>
              </w:rPr>
              <w:t>V1.0</w:t>
            </w:r>
          </w:p>
        </w:tc>
        <w:tc>
          <w:tcPr>
            <w:tcW w:w="1134" w:type="dxa"/>
            <w:shd w:val="clear" w:color="auto" w:fill="auto"/>
          </w:tcPr>
          <w:p>
            <w:pPr>
              <w:pStyle w:val="En-tte"/>
              <w:rPr>
                <w:rFonts w:cs="CG Times (W1)"/>
                <w:sz w:val="18"/>
                <w:szCs w:val="18"/>
              </w:rPr>
            </w:pPr>
            <w:r>
              <w:rPr>
                <w:rFonts w:cs="CG Times (W1)"/>
                <w:sz w:val="18"/>
                <w:szCs w:val="18"/>
              </w:rPr>
              <w:t>06/09/2017</w:t>
            </w:r>
          </w:p>
        </w:tc>
        <w:tc>
          <w:tcPr>
            <w:tcW w:w="2410" w:type="dxa"/>
            <w:shd w:val="clear" w:color="auto" w:fill="auto"/>
          </w:tcPr>
          <w:p>
            <w:pPr>
              <w:pStyle w:val="En-tte"/>
              <w:jc w:val="center"/>
              <w:rPr>
                <w:rFonts w:cs="CG Times (W1)"/>
                <w:sz w:val="18"/>
                <w:szCs w:val="18"/>
              </w:rPr>
            </w:pPr>
            <w:r>
              <w:rPr>
                <w:rFonts w:cs="CG Times (W1)"/>
                <w:sz w:val="18"/>
                <w:szCs w:val="18"/>
              </w:rPr>
              <w:t>Grégoire Sibertin-Blanc</w:t>
            </w:r>
          </w:p>
        </w:tc>
        <w:tc>
          <w:tcPr>
            <w:tcW w:w="4961" w:type="dxa"/>
            <w:shd w:val="clear" w:color="auto" w:fill="auto"/>
          </w:tcPr>
          <w:p>
            <w:pPr>
              <w:pStyle w:val="En-tte"/>
              <w:jc w:val="center"/>
              <w:rPr>
                <w:rFonts w:cs="CG Times (W1)"/>
                <w:sz w:val="18"/>
                <w:szCs w:val="18"/>
              </w:rPr>
            </w:pPr>
            <w:r>
              <w:rPr>
                <w:rFonts w:cs="CG Times (W1)"/>
                <w:sz w:val="18"/>
                <w:szCs w:val="18"/>
              </w:rPr>
              <w:t>Mise jour pour V17.00.00</w:t>
            </w:r>
          </w:p>
        </w:tc>
      </w:tr>
      <w:tr>
        <w:tc>
          <w:tcPr>
            <w:tcW w:w="1164" w:type="dxa"/>
            <w:shd w:val="clear" w:color="auto" w:fill="auto"/>
          </w:tcPr>
          <w:p>
            <w:pPr>
              <w:pStyle w:val="En-tte"/>
              <w:jc w:val="center"/>
              <w:rPr>
                <w:rFonts w:cs="CG Times (W1)"/>
                <w:sz w:val="18"/>
                <w:szCs w:val="18"/>
              </w:rPr>
            </w:pPr>
            <w:r>
              <w:rPr>
                <w:rFonts w:cs="CG Times (W1)"/>
                <w:sz w:val="18"/>
                <w:szCs w:val="18"/>
              </w:rPr>
              <w:t>V1.1</w:t>
            </w:r>
          </w:p>
        </w:tc>
        <w:tc>
          <w:tcPr>
            <w:tcW w:w="1134" w:type="dxa"/>
            <w:shd w:val="clear" w:color="auto" w:fill="auto"/>
          </w:tcPr>
          <w:p>
            <w:pPr>
              <w:pStyle w:val="En-tte"/>
              <w:rPr>
                <w:rFonts w:cs="CG Times (W1)"/>
                <w:sz w:val="18"/>
                <w:szCs w:val="18"/>
              </w:rPr>
            </w:pPr>
            <w:r>
              <w:rPr>
                <w:rFonts w:cs="CG Times (W1)"/>
                <w:sz w:val="18"/>
                <w:szCs w:val="18"/>
              </w:rPr>
              <w:t>29/08/2018</w:t>
            </w:r>
          </w:p>
        </w:tc>
        <w:tc>
          <w:tcPr>
            <w:tcW w:w="2410" w:type="dxa"/>
            <w:shd w:val="clear" w:color="auto" w:fill="auto"/>
          </w:tcPr>
          <w:p>
            <w:pPr>
              <w:pStyle w:val="En-tte"/>
              <w:jc w:val="center"/>
              <w:rPr>
                <w:rFonts w:cs="CG Times (W1)"/>
                <w:sz w:val="18"/>
                <w:szCs w:val="18"/>
              </w:rPr>
            </w:pPr>
            <w:r>
              <w:rPr>
                <w:rFonts w:cs="CG Times (W1)"/>
                <w:sz w:val="18"/>
                <w:szCs w:val="18"/>
              </w:rPr>
              <w:t>Grégoire Sibertin-Blanc</w:t>
            </w:r>
          </w:p>
        </w:tc>
        <w:tc>
          <w:tcPr>
            <w:tcW w:w="4961" w:type="dxa"/>
            <w:shd w:val="clear" w:color="auto" w:fill="auto"/>
          </w:tcPr>
          <w:p>
            <w:pPr>
              <w:pStyle w:val="En-tte"/>
              <w:jc w:val="center"/>
              <w:rPr>
                <w:rFonts w:cs="CG Times (W1)"/>
                <w:sz w:val="18"/>
                <w:szCs w:val="18"/>
              </w:rPr>
            </w:pPr>
            <w:r>
              <w:rPr>
                <w:rFonts w:cs="CG Times (W1)"/>
                <w:sz w:val="18"/>
                <w:szCs w:val="18"/>
              </w:rPr>
              <w:t>Mise à jour pour V18.00.00</w:t>
            </w:r>
          </w:p>
        </w:tc>
      </w:tr>
      <w:tr>
        <w:tc>
          <w:tcPr>
            <w:tcW w:w="1164" w:type="dxa"/>
            <w:shd w:val="clear" w:color="auto" w:fill="auto"/>
          </w:tcPr>
          <w:p>
            <w:pPr>
              <w:pStyle w:val="En-tte"/>
              <w:jc w:val="center"/>
              <w:rPr>
                <w:rFonts w:cs="CG Times (W1)"/>
                <w:sz w:val="18"/>
                <w:szCs w:val="18"/>
              </w:rPr>
            </w:pPr>
            <w:r>
              <w:rPr>
                <w:rFonts w:cs="CG Times (W1)"/>
                <w:sz w:val="18"/>
                <w:szCs w:val="18"/>
              </w:rPr>
              <w:t>V1.2</w:t>
            </w:r>
          </w:p>
        </w:tc>
        <w:tc>
          <w:tcPr>
            <w:tcW w:w="1134" w:type="dxa"/>
            <w:shd w:val="clear" w:color="auto" w:fill="auto"/>
          </w:tcPr>
          <w:p>
            <w:pPr>
              <w:pStyle w:val="En-tte"/>
              <w:rPr>
                <w:rFonts w:cs="CG Times (W1)"/>
                <w:sz w:val="18"/>
                <w:szCs w:val="18"/>
              </w:rPr>
            </w:pPr>
            <w:r>
              <w:rPr>
                <w:rFonts w:cs="CG Times (W1)"/>
                <w:sz w:val="18"/>
                <w:szCs w:val="18"/>
              </w:rPr>
              <w:t>30/09/2019</w:t>
            </w:r>
          </w:p>
        </w:tc>
        <w:tc>
          <w:tcPr>
            <w:tcW w:w="2410" w:type="dxa"/>
            <w:shd w:val="clear" w:color="auto" w:fill="auto"/>
          </w:tcPr>
          <w:p>
            <w:pPr>
              <w:pStyle w:val="En-tte"/>
              <w:jc w:val="center"/>
              <w:rPr>
                <w:rFonts w:cs="CG Times (W1)"/>
                <w:sz w:val="18"/>
                <w:szCs w:val="18"/>
              </w:rPr>
            </w:pPr>
            <w:r>
              <w:rPr>
                <w:rFonts w:cs="CG Times (W1)"/>
                <w:sz w:val="18"/>
                <w:szCs w:val="18"/>
              </w:rPr>
              <w:t>Nicolas Augereau</w:t>
            </w:r>
          </w:p>
        </w:tc>
        <w:tc>
          <w:tcPr>
            <w:tcW w:w="4961" w:type="dxa"/>
            <w:shd w:val="clear" w:color="auto" w:fill="auto"/>
          </w:tcPr>
          <w:p>
            <w:pPr>
              <w:pStyle w:val="En-tte"/>
              <w:jc w:val="center"/>
              <w:rPr>
                <w:rFonts w:cs="CG Times (W1)"/>
                <w:sz w:val="18"/>
                <w:szCs w:val="18"/>
              </w:rPr>
            </w:pPr>
            <w:r>
              <w:rPr>
                <w:rFonts w:cs="CG Times (W1)"/>
                <w:sz w:val="18"/>
                <w:szCs w:val="18"/>
              </w:rPr>
              <w:t>Mise à jour pour V19.00.00</w:t>
            </w:r>
          </w:p>
        </w:tc>
      </w:tr>
      <w:tr>
        <w:tc>
          <w:tcPr>
            <w:tcW w:w="1164" w:type="dxa"/>
            <w:shd w:val="clear" w:color="auto" w:fill="auto"/>
          </w:tcPr>
          <w:p>
            <w:pPr>
              <w:pStyle w:val="En-tte"/>
              <w:jc w:val="center"/>
              <w:rPr>
                <w:rFonts w:cs="CG Times (W1)"/>
                <w:sz w:val="18"/>
                <w:szCs w:val="18"/>
              </w:rPr>
            </w:pPr>
            <w:r>
              <w:rPr>
                <w:rFonts w:cs="CG Times (W1)"/>
                <w:sz w:val="18"/>
                <w:szCs w:val="18"/>
              </w:rPr>
              <w:t>V1.3</w:t>
            </w:r>
          </w:p>
        </w:tc>
        <w:tc>
          <w:tcPr>
            <w:tcW w:w="1134" w:type="dxa"/>
            <w:shd w:val="clear" w:color="auto" w:fill="auto"/>
          </w:tcPr>
          <w:p>
            <w:pPr>
              <w:pStyle w:val="En-tte"/>
              <w:rPr>
                <w:rFonts w:cs="CG Times (W1)"/>
                <w:sz w:val="18"/>
                <w:szCs w:val="18"/>
              </w:rPr>
            </w:pPr>
            <w:r>
              <w:rPr>
                <w:rFonts w:cs="CG Times (W1)"/>
                <w:sz w:val="18"/>
                <w:szCs w:val="18"/>
              </w:rPr>
              <w:t>29/07/2020</w:t>
            </w:r>
          </w:p>
        </w:tc>
        <w:tc>
          <w:tcPr>
            <w:tcW w:w="2410" w:type="dxa"/>
            <w:shd w:val="clear" w:color="auto" w:fill="auto"/>
          </w:tcPr>
          <w:p>
            <w:pPr>
              <w:pStyle w:val="En-tte"/>
              <w:jc w:val="center"/>
              <w:rPr>
                <w:rFonts w:cs="CG Times (W1)"/>
                <w:sz w:val="18"/>
                <w:szCs w:val="18"/>
              </w:rPr>
            </w:pPr>
            <w:r>
              <w:rPr>
                <w:rFonts w:cs="CG Times (W1)"/>
                <w:sz w:val="18"/>
                <w:szCs w:val="18"/>
              </w:rPr>
              <w:t>Nicolas Augereau</w:t>
            </w:r>
          </w:p>
        </w:tc>
        <w:tc>
          <w:tcPr>
            <w:tcW w:w="4961" w:type="dxa"/>
            <w:shd w:val="clear" w:color="auto" w:fill="auto"/>
          </w:tcPr>
          <w:p>
            <w:pPr>
              <w:pStyle w:val="En-tte"/>
              <w:jc w:val="center"/>
              <w:rPr>
                <w:rFonts w:cs="CG Times (W1)"/>
                <w:sz w:val="18"/>
                <w:szCs w:val="18"/>
              </w:rPr>
            </w:pPr>
            <w:r>
              <w:rPr>
                <w:rFonts w:cs="CG Times (W1)"/>
                <w:sz w:val="18"/>
                <w:szCs w:val="18"/>
              </w:rPr>
              <w:t>Mise à jour pour V20.00.00</w:t>
            </w:r>
          </w:p>
        </w:tc>
      </w:tr>
      <w:tr>
        <w:tc>
          <w:tcPr>
            <w:tcW w:w="1164" w:type="dxa"/>
            <w:shd w:val="clear" w:color="auto" w:fill="auto"/>
          </w:tcPr>
          <w:p>
            <w:pPr>
              <w:pStyle w:val="En-tte"/>
              <w:jc w:val="center"/>
              <w:rPr>
                <w:rFonts w:cs="CG Times (W1)"/>
                <w:sz w:val="18"/>
                <w:szCs w:val="18"/>
              </w:rPr>
            </w:pPr>
            <w:r>
              <w:rPr>
                <w:rFonts w:cs="CG Times (W1)"/>
                <w:sz w:val="18"/>
                <w:szCs w:val="18"/>
              </w:rPr>
              <w:t>V1.4</w:t>
            </w:r>
          </w:p>
        </w:tc>
        <w:tc>
          <w:tcPr>
            <w:tcW w:w="1134" w:type="dxa"/>
            <w:shd w:val="clear" w:color="auto" w:fill="auto"/>
          </w:tcPr>
          <w:p>
            <w:pPr>
              <w:pStyle w:val="En-tte"/>
              <w:rPr>
                <w:rFonts w:cs="CG Times (W1)"/>
                <w:sz w:val="18"/>
                <w:szCs w:val="18"/>
              </w:rPr>
            </w:pPr>
            <w:r>
              <w:rPr>
                <w:rFonts w:cs="CG Times (W1)"/>
                <w:sz w:val="18"/>
                <w:szCs w:val="18"/>
              </w:rPr>
              <w:t>06/07/2021</w:t>
            </w:r>
          </w:p>
        </w:tc>
        <w:tc>
          <w:tcPr>
            <w:tcW w:w="2410" w:type="dxa"/>
            <w:shd w:val="clear" w:color="auto" w:fill="auto"/>
          </w:tcPr>
          <w:p>
            <w:pPr>
              <w:pStyle w:val="En-tte"/>
              <w:jc w:val="center"/>
              <w:rPr>
                <w:rFonts w:cs="CG Times (W1)"/>
                <w:sz w:val="18"/>
                <w:szCs w:val="18"/>
              </w:rPr>
            </w:pPr>
            <w:r>
              <w:rPr>
                <w:rFonts w:cs="CG Times (W1)"/>
                <w:sz w:val="18"/>
                <w:szCs w:val="18"/>
              </w:rPr>
              <w:t>Nicolas Augereau</w:t>
            </w:r>
          </w:p>
        </w:tc>
        <w:tc>
          <w:tcPr>
            <w:tcW w:w="4961" w:type="dxa"/>
            <w:shd w:val="clear" w:color="auto" w:fill="auto"/>
          </w:tcPr>
          <w:p>
            <w:pPr>
              <w:pStyle w:val="En-tte"/>
              <w:jc w:val="center"/>
              <w:rPr>
                <w:rFonts w:cs="CG Times (W1)"/>
                <w:sz w:val="18"/>
                <w:szCs w:val="18"/>
              </w:rPr>
            </w:pPr>
            <w:r>
              <w:rPr>
                <w:rFonts w:cs="CG Times (W1)"/>
                <w:sz w:val="18"/>
                <w:szCs w:val="18"/>
              </w:rPr>
              <w:t>Mise à jour pour V21.00.00 et description de la valeur X de la balise TYPE_MAJ (§3.1)</w:t>
            </w:r>
          </w:p>
        </w:tc>
      </w:tr>
      <w:tr>
        <w:tc>
          <w:tcPr>
            <w:tcW w:w="1164" w:type="dxa"/>
            <w:shd w:val="clear" w:color="auto" w:fill="auto"/>
          </w:tcPr>
          <w:p>
            <w:pPr>
              <w:pStyle w:val="En-tte"/>
              <w:jc w:val="center"/>
              <w:rPr>
                <w:rFonts w:cs="CG Times (W1)"/>
                <w:sz w:val="18"/>
                <w:szCs w:val="18"/>
              </w:rPr>
            </w:pPr>
            <w:r>
              <w:rPr>
                <w:rFonts w:cs="CG Times (W1)"/>
                <w:sz w:val="18"/>
                <w:szCs w:val="18"/>
              </w:rPr>
              <w:t>V1.5</w:t>
            </w:r>
          </w:p>
        </w:tc>
        <w:tc>
          <w:tcPr>
            <w:tcW w:w="1134" w:type="dxa"/>
            <w:shd w:val="clear" w:color="auto" w:fill="auto"/>
          </w:tcPr>
          <w:p>
            <w:pPr>
              <w:pStyle w:val="En-tte"/>
              <w:rPr>
                <w:rFonts w:cs="CG Times (W1)"/>
                <w:sz w:val="18"/>
                <w:szCs w:val="18"/>
              </w:rPr>
            </w:pPr>
            <w:r>
              <w:rPr>
                <w:rFonts w:cs="CG Times (W1)"/>
                <w:sz w:val="18"/>
                <w:szCs w:val="18"/>
              </w:rPr>
              <w:t>01/07/2022</w:t>
            </w:r>
          </w:p>
        </w:tc>
        <w:tc>
          <w:tcPr>
            <w:tcW w:w="2410" w:type="dxa"/>
            <w:shd w:val="clear" w:color="auto" w:fill="auto"/>
          </w:tcPr>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Mise à jour pour V22.00.00 et remplacement des clés complexes par des clés simples</w:t>
            </w:r>
          </w:p>
        </w:tc>
      </w:tr>
      <w:tr>
        <w:tc>
          <w:tcPr>
            <w:tcW w:w="1164" w:type="dxa"/>
            <w:shd w:val="clear" w:color="auto" w:fill="auto"/>
          </w:tcPr>
          <w:p>
            <w:pPr>
              <w:pStyle w:val="En-tte"/>
              <w:jc w:val="center"/>
              <w:rPr>
                <w:rFonts w:cs="CG Times (W1)"/>
                <w:sz w:val="18"/>
                <w:szCs w:val="18"/>
              </w:rPr>
            </w:pPr>
            <w:r>
              <w:rPr>
                <w:rFonts w:cs="CG Times (W1)"/>
                <w:sz w:val="18"/>
                <w:szCs w:val="18"/>
              </w:rPr>
              <w:t>V1.6</w:t>
            </w:r>
          </w:p>
        </w:tc>
        <w:tc>
          <w:tcPr>
            <w:tcW w:w="1134" w:type="dxa"/>
            <w:shd w:val="clear" w:color="auto" w:fill="auto"/>
          </w:tcPr>
          <w:p>
            <w:pPr>
              <w:pStyle w:val="En-tte"/>
              <w:rPr>
                <w:rFonts w:cs="CG Times (W1)"/>
                <w:sz w:val="18"/>
                <w:szCs w:val="18"/>
              </w:rPr>
            </w:pPr>
            <w:r>
              <w:rPr>
                <w:rFonts w:cs="CG Times (W1)"/>
                <w:sz w:val="18"/>
                <w:szCs w:val="18"/>
              </w:rPr>
              <w:t>04/07/2023</w:t>
            </w:r>
          </w:p>
        </w:tc>
        <w:tc>
          <w:tcPr>
            <w:tcW w:w="2410" w:type="dxa"/>
            <w:shd w:val="clear" w:color="auto" w:fill="auto"/>
          </w:tcPr>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Mise à jour pour V23.00.00</w:t>
            </w:r>
          </w:p>
        </w:tc>
      </w:tr>
      <w:tr>
        <w:tc>
          <w:tcPr>
            <w:tcW w:w="1164" w:type="dxa"/>
            <w:shd w:val="clear" w:color="auto" w:fill="auto"/>
          </w:tcPr>
          <w:p>
            <w:pPr>
              <w:pStyle w:val="En-tte"/>
              <w:jc w:val="center"/>
              <w:rPr>
                <w:rFonts w:cs="CG Times (W1)"/>
                <w:sz w:val="18"/>
                <w:szCs w:val="18"/>
              </w:rPr>
            </w:pPr>
            <w:r>
              <w:rPr>
                <w:rFonts w:cs="CG Times (W1)"/>
                <w:sz w:val="18"/>
                <w:szCs w:val="18"/>
              </w:rPr>
              <w:lastRenderedPageBreak/>
              <w:t>V1.7</w:t>
            </w:r>
          </w:p>
        </w:tc>
        <w:tc>
          <w:tcPr>
            <w:tcW w:w="1134" w:type="dxa"/>
            <w:shd w:val="clear" w:color="auto" w:fill="auto"/>
          </w:tcPr>
          <w:p>
            <w:pPr>
              <w:pStyle w:val="En-tte"/>
              <w:rPr>
                <w:rFonts w:cs="CG Times (W1)"/>
                <w:sz w:val="18"/>
                <w:szCs w:val="18"/>
              </w:rPr>
            </w:pPr>
            <w:r>
              <w:rPr>
                <w:rFonts w:cs="CG Times (W1)"/>
                <w:sz w:val="18"/>
                <w:szCs w:val="18"/>
              </w:rPr>
              <w:t>03/07/2024</w:t>
            </w:r>
          </w:p>
        </w:tc>
        <w:tc>
          <w:tcPr>
            <w:tcW w:w="2410" w:type="dxa"/>
            <w:shd w:val="clear" w:color="auto" w:fill="auto"/>
          </w:tcPr>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Mise à jour pour V24.00.00</w:t>
            </w:r>
          </w:p>
        </w:tc>
      </w:tr>
    </w:tbl>
    <w:p>
      <w:pPr>
        <w:pStyle w:val="En-tte"/>
        <w:ind w:left="683"/>
      </w:pPr>
    </w:p>
    <w:p>
      <w:pPr>
        <w:suppressAutoHyphens w:val="0"/>
        <w:spacing w:before="0" w:after="0" w:line="240" w:lineRule="auto"/>
        <w:rPr>
          <w:b/>
          <w:sz w:val="32"/>
          <w:szCs w:val="32"/>
        </w:rPr>
      </w:pPr>
      <w:r>
        <w:rPr>
          <w:b/>
          <w:sz w:val="32"/>
          <w:szCs w:val="32"/>
        </w:rPr>
        <w:br w:type="page"/>
      </w:r>
    </w:p>
    <w:p>
      <w:pPr>
        <w:ind w:left="683"/>
        <w:jc w:val="center"/>
        <w:rPr>
          <w:b/>
          <w:sz w:val="32"/>
          <w:szCs w:val="32"/>
        </w:rPr>
      </w:pPr>
      <w:r>
        <w:rPr>
          <w:b/>
          <w:sz w:val="32"/>
          <w:szCs w:val="32"/>
        </w:rPr>
        <w:lastRenderedPageBreak/>
        <w:t>Validation du document</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1843"/>
        <w:gridCol w:w="1559"/>
        <w:gridCol w:w="1417"/>
        <w:gridCol w:w="1418"/>
        <w:gridCol w:w="1134"/>
      </w:tblGrid>
      <w:tr>
        <w:trPr>
          <w:cantSplit/>
          <w:tblHeader/>
        </w:trPr>
        <w:tc>
          <w:tcPr>
            <w:tcW w:w="2298" w:type="dxa"/>
            <w:vMerge w:val="restart"/>
            <w:shd w:val="clear" w:color="auto" w:fill="B8CCE4"/>
          </w:tcPr>
          <w:p>
            <w:pPr>
              <w:pStyle w:val="En-tte"/>
              <w:jc w:val="center"/>
              <w:rPr>
                <w:rFonts w:cs="CG Times (W1)"/>
                <w:b/>
                <w:sz w:val="18"/>
                <w:szCs w:val="18"/>
              </w:rPr>
            </w:pPr>
          </w:p>
          <w:p>
            <w:pPr>
              <w:pStyle w:val="En-tte"/>
              <w:jc w:val="center"/>
              <w:rPr>
                <w:rFonts w:cs="CG Times (W1)"/>
                <w:b/>
                <w:sz w:val="18"/>
                <w:szCs w:val="18"/>
              </w:rPr>
            </w:pPr>
            <w:r>
              <w:rPr>
                <w:rFonts w:cs="CG Times (W1)"/>
                <w:b/>
                <w:sz w:val="18"/>
                <w:szCs w:val="18"/>
              </w:rPr>
              <w:t>Nom</w:t>
            </w:r>
          </w:p>
        </w:tc>
        <w:tc>
          <w:tcPr>
            <w:tcW w:w="1843" w:type="dxa"/>
            <w:vMerge w:val="restart"/>
            <w:shd w:val="clear" w:color="auto" w:fill="B8CCE4"/>
          </w:tcPr>
          <w:p>
            <w:pPr>
              <w:pStyle w:val="En-tte"/>
              <w:jc w:val="center"/>
              <w:rPr>
                <w:rFonts w:cs="CG Times (W1)"/>
                <w:b/>
                <w:sz w:val="18"/>
                <w:szCs w:val="18"/>
              </w:rPr>
            </w:pPr>
          </w:p>
          <w:p>
            <w:pPr>
              <w:pStyle w:val="En-tte"/>
              <w:jc w:val="center"/>
              <w:rPr>
                <w:rFonts w:cs="CG Times (W1)"/>
                <w:b/>
                <w:sz w:val="18"/>
                <w:szCs w:val="18"/>
              </w:rPr>
            </w:pPr>
            <w:r>
              <w:rPr>
                <w:rFonts w:cs="CG Times (W1)"/>
                <w:b/>
                <w:sz w:val="18"/>
                <w:szCs w:val="18"/>
              </w:rPr>
              <w:t>Entité</w:t>
            </w:r>
          </w:p>
        </w:tc>
        <w:tc>
          <w:tcPr>
            <w:tcW w:w="5528" w:type="dxa"/>
            <w:gridSpan w:val="4"/>
            <w:shd w:val="clear" w:color="auto" w:fill="B8CCE4"/>
          </w:tcPr>
          <w:p>
            <w:pPr>
              <w:pStyle w:val="En-tte"/>
              <w:jc w:val="center"/>
              <w:rPr>
                <w:rFonts w:cs="CG Times (W1)"/>
                <w:b/>
                <w:sz w:val="18"/>
                <w:szCs w:val="18"/>
              </w:rPr>
            </w:pPr>
            <w:r>
              <w:rPr>
                <w:rFonts w:cs="CG Times (W1)"/>
                <w:b/>
                <w:sz w:val="18"/>
                <w:szCs w:val="18"/>
              </w:rPr>
              <w:t>Destinataires</w:t>
            </w:r>
          </w:p>
        </w:tc>
      </w:tr>
      <w:tr>
        <w:trPr>
          <w:cantSplit/>
          <w:tblHeader/>
        </w:trPr>
        <w:tc>
          <w:tcPr>
            <w:tcW w:w="2298" w:type="dxa"/>
            <w:vMerge/>
            <w:shd w:val="clear" w:color="auto" w:fill="B8CCE4"/>
          </w:tcPr>
          <w:p>
            <w:pPr>
              <w:pStyle w:val="En-tte"/>
              <w:jc w:val="center"/>
              <w:rPr>
                <w:rFonts w:cs="CG Times (W1)"/>
                <w:b/>
                <w:sz w:val="18"/>
                <w:szCs w:val="18"/>
              </w:rPr>
            </w:pPr>
          </w:p>
        </w:tc>
        <w:tc>
          <w:tcPr>
            <w:tcW w:w="1843" w:type="dxa"/>
            <w:vMerge/>
            <w:shd w:val="clear" w:color="auto" w:fill="B8CCE4"/>
          </w:tcPr>
          <w:p>
            <w:pPr>
              <w:pStyle w:val="En-tte"/>
              <w:jc w:val="center"/>
              <w:rPr>
                <w:rFonts w:cs="CG Times (W1)"/>
                <w:b/>
                <w:sz w:val="18"/>
                <w:szCs w:val="18"/>
              </w:rPr>
            </w:pPr>
          </w:p>
        </w:tc>
        <w:tc>
          <w:tcPr>
            <w:tcW w:w="1559" w:type="dxa"/>
            <w:shd w:val="clear" w:color="auto" w:fill="B8CCE4"/>
          </w:tcPr>
          <w:p>
            <w:pPr>
              <w:pStyle w:val="En-tte"/>
              <w:ind w:left="34"/>
              <w:jc w:val="center"/>
              <w:rPr>
                <w:rFonts w:cs="CG Times (W1)"/>
                <w:b/>
                <w:sz w:val="18"/>
                <w:szCs w:val="18"/>
              </w:rPr>
            </w:pPr>
            <w:r>
              <w:rPr>
                <w:rFonts w:cs="CG Times (W1)"/>
                <w:b/>
                <w:sz w:val="18"/>
                <w:szCs w:val="18"/>
              </w:rPr>
              <w:t>Information</w:t>
            </w:r>
          </w:p>
        </w:tc>
        <w:tc>
          <w:tcPr>
            <w:tcW w:w="1417" w:type="dxa"/>
            <w:shd w:val="clear" w:color="auto" w:fill="B8CCE4"/>
          </w:tcPr>
          <w:p>
            <w:pPr>
              <w:pStyle w:val="En-tte"/>
              <w:ind w:hanging="108"/>
              <w:jc w:val="center"/>
              <w:rPr>
                <w:rFonts w:cs="CG Times (W1)"/>
                <w:b/>
                <w:sz w:val="18"/>
                <w:szCs w:val="18"/>
              </w:rPr>
            </w:pPr>
            <w:r>
              <w:rPr>
                <w:rFonts w:cs="CG Times (W1)"/>
                <w:b/>
                <w:sz w:val="18"/>
                <w:szCs w:val="18"/>
              </w:rPr>
              <w:t>Relecture</w:t>
            </w:r>
          </w:p>
        </w:tc>
        <w:tc>
          <w:tcPr>
            <w:tcW w:w="1418" w:type="dxa"/>
            <w:shd w:val="clear" w:color="auto" w:fill="B8CCE4"/>
          </w:tcPr>
          <w:p>
            <w:pPr>
              <w:pStyle w:val="En-tte"/>
              <w:tabs>
                <w:tab w:val="left" w:pos="1093"/>
              </w:tabs>
              <w:jc w:val="center"/>
              <w:rPr>
                <w:rFonts w:cs="CG Times (W1)"/>
                <w:b/>
                <w:sz w:val="18"/>
                <w:szCs w:val="18"/>
              </w:rPr>
            </w:pPr>
            <w:r>
              <w:rPr>
                <w:rFonts w:cs="CG Times (W1)"/>
                <w:b/>
                <w:sz w:val="18"/>
                <w:szCs w:val="18"/>
              </w:rPr>
              <w:t>Contribution</w:t>
            </w:r>
          </w:p>
        </w:tc>
        <w:tc>
          <w:tcPr>
            <w:tcW w:w="1134" w:type="dxa"/>
            <w:shd w:val="clear" w:color="auto" w:fill="B8CCE4"/>
          </w:tcPr>
          <w:p>
            <w:pPr>
              <w:pStyle w:val="En-tte"/>
              <w:jc w:val="center"/>
              <w:rPr>
                <w:rFonts w:cs="CG Times (W1)"/>
                <w:b/>
                <w:sz w:val="18"/>
                <w:szCs w:val="18"/>
              </w:rPr>
            </w:pPr>
            <w:r>
              <w:rPr>
                <w:rFonts w:cs="CG Times (W1)"/>
                <w:b/>
                <w:sz w:val="18"/>
                <w:szCs w:val="18"/>
              </w:rPr>
              <w:t>Validation</w:t>
            </w:r>
          </w:p>
        </w:tc>
      </w:tr>
      <w:tr>
        <w:trPr>
          <w:cantSplit/>
        </w:trPr>
        <w:tc>
          <w:tcPr>
            <w:tcW w:w="2298" w:type="dxa"/>
            <w:shd w:val="clear" w:color="auto" w:fill="auto"/>
          </w:tcPr>
          <w:p>
            <w:pPr>
              <w:pStyle w:val="ONPCorpsdetexte"/>
              <w:snapToGrid w:val="0"/>
            </w:pPr>
          </w:p>
        </w:tc>
        <w:tc>
          <w:tcPr>
            <w:tcW w:w="1843" w:type="dxa"/>
            <w:shd w:val="clear" w:color="auto" w:fill="auto"/>
          </w:tcPr>
          <w:p>
            <w:pPr>
              <w:pStyle w:val="ONPCorpsdetexte"/>
              <w:snapToGrid w:val="0"/>
            </w:pPr>
          </w:p>
        </w:tc>
        <w:tc>
          <w:tcPr>
            <w:tcW w:w="1559" w:type="dxa"/>
          </w:tcPr>
          <w:p>
            <w:pPr>
              <w:pStyle w:val="En-tte"/>
              <w:jc w:val="center"/>
              <w:rPr>
                <w:rFonts w:cs="CG Times (W1)"/>
                <w:sz w:val="18"/>
                <w:szCs w:val="18"/>
              </w:rPr>
            </w:pPr>
          </w:p>
        </w:tc>
        <w:tc>
          <w:tcPr>
            <w:tcW w:w="1417" w:type="dxa"/>
          </w:tcPr>
          <w:p>
            <w:pPr>
              <w:pStyle w:val="En-tte"/>
              <w:jc w:val="center"/>
              <w:rPr>
                <w:rFonts w:cs="CG Times (W1)"/>
                <w:sz w:val="18"/>
                <w:szCs w:val="18"/>
              </w:rPr>
            </w:pPr>
          </w:p>
        </w:tc>
        <w:tc>
          <w:tcPr>
            <w:tcW w:w="1418" w:type="dxa"/>
          </w:tcPr>
          <w:p>
            <w:pPr>
              <w:pStyle w:val="En-tte"/>
              <w:jc w:val="center"/>
              <w:rPr>
                <w:rFonts w:cs="CG Times (W1)"/>
                <w:sz w:val="18"/>
                <w:szCs w:val="18"/>
              </w:rPr>
            </w:pPr>
          </w:p>
        </w:tc>
        <w:tc>
          <w:tcPr>
            <w:tcW w:w="1134" w:type="dxa"/>
          </w:tcPr>
          <w:p>
            <w:pPr>
              <w:pStyle w:val="En-tte"/>
              <w:jc w:val="center"/>
              <w:rPr>
                <w:rFonts w:cs="CG Times (W1)"/>
                <w:sz w:val="18"/>
                <w:szCs w:val="18"/>
              </w:rPr>
            </w:pPr>
          </w:p>
        </w:tc>
      </w:tr>
      <w:tr>
        <w:trPr>
          <w:cantSplit/>
        </w:trPr>
        <w:tc>
          <w:tcPr>
            <w:tcW w:w="2298" w:type="dxa"/>
            <w:shd w:val="clear" w:color="auto" w:fill="auto"/>
          </w:tcPr>
          <w:p>
            <w:pPr>
              <w:pStyle w:val="ONPCorpsdetexte"/>
              <w:snapToGrid w:val="0"/>
            </w:pPr>
          </w:p>
        </w:tc>
        <w:tc>
          <w:tcPr>
            <w:tcW w:w="1843" w:type="dxa"/>
            <w:shd w:val="clear" w:color="auto" w:fill="auto"/>
          </w:tcPr>
          <w:p>
            <w:pPr>
              <w:pStyle w:val="ONPCorpsdetexte"/>
              <w:snapToGrid w:val="0"/>
            </w:pPr>
          </w:p>
        </w:tc>
        <w:tc>
          <w:tcPr>
            <w:tcW w:w="1559" w:type="dxa"/>
          </w:tcPr>
          <w:p>
            <w:pPr>
              <w:pStyle w:val="En-tte"/>
              <w:jc w:val="center"/>
              <w:rPr>
                <w:rFonts w:cs="CG Times (W1)"/>
                <w:sz w:val="18"/>
                <w:szCs w:val="18"/>
              </w:rPr>
            </w:pPr>
          </w:p>
        </w:tc>
        <w:tc>
          <w:tcPr>
            <w:tcW w:w="1417" w:type="dxa"/>
          </w:tcPr>
          <w:p>
            <w:pPr>
              <w:pStyle w:val="En-tte"/>
              <w:jc w:val="center"/>
              <w:rPr>
                <w:rFonts w:cs="CG Times (W1)"/>
                <w:sz w:val="18"/>
                <w:szCs w:val="18"/>
              </w:rPr>
            </w:pPr>
          </w:p>
        </w:tc>
        <w:tc>
          <w:tcPr>
            <w:tcW w:w="1418" w:type="dxa"/>
          </w:tcPr>
          <w:p>
            <w:pPr>
              <w:pStyle w:val="En-tte"/>
              <w:jc w:val="center"/>
              <w:rPr>
                <w:rFonts w:cs="CG Times (W1)"/>
                <w:sz w:val="18"/>
                <w:szCs w:val="18"/>
              </w:rPr>
            </w:pPr>
          </w:p>
        </w:tc>
        <w:tc>
          <w:tcPr>
            <w:tcW w:w="1134" w:type="dxa"/>
          </w:tcPr>
          <w:p>
            <w:pPr>
              <w:pStyle w:val="En-tte"/>
              <w:jc w:val="center"/>
              <w:rPr>
                <w:rFonts w:cs="CG Times (W1)"/>
                <w:sz w:val="18"/>
                <w:szCs w:val="18"/>
              </w:rPr>
            </w:pPr>
          </w:p>
        </w:tc>
      </w:tr>
      <w:tr>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NPCorpsdetexte"/>
              <w:snapToGrid w:val="0"/>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NPCorpsdetexte"/>
              <w:snapToGrid w:val="0"/>
            </w:pPr>
          </w:p>
        </w:tc>
        <w:tc>
          <w:tcPr>
            <w:tcW w:w="1559"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417"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418"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134"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r>
      <w:tr>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417"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418"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134"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r>
    </w:tbl>
    <w:p>
      <w:pPr>
        <w:pStyle w:val="En-tte"/>
        <w:ind w:left="683"/>
      </w:pPr>
    </w:p>
    <w:p>
      <w:pPr>
        <w:ind w:left="683"/>
        <w:jc w:val="center"/>
        <w:rPr>
          <w:b/>
          <w:sz w:val="32"/>
          <w:szCs w:val="32"/>
        </w:rPr>
      </w:pPr>
      <w:r>
        <w:rPr>
          <w:b/>
          <w:sz w:val="32"/>
          <w:szCs w:val="32"/>
        </w:rPr>
        <w:t>Document de référence</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134"/>
        <w:gridCol w:w="3544"/>
        <w:gridCol w:w="1701"/>
      </w:tblGrid>
      <w:tr>
        <w:trPr>
          <w:cantSplit/>
          <w:tblHeader/>
        </w:trPr>
        <w:tc>
          <w:tcPr>
            <w:tcW w:w="3290" w:type="dxa"/>
            <w:shd w:val="clear" w:color="auto" w:fill="B8CCE4"/>
          </w:tcPr>
          <w:p>
            <w:pPr>
              <w:pStyle w:val="En-tte"/>
              <w:jc w:val="center"/>
              <w:rPr>
                <w:rFonts w:cs="CG Times (W1)"/>
                <w:b/>
                <w:sz w:val="18"/>
                <w:szCs w:val="18"/>
              </w:rPr>
            </w:pPr>
            <w:r>
              <w:rPr>
                <w:rFonts w:cs="CG Times (W1)"/>
                <w:b/>
                <w:sz w:val="18"/>
                <w:szCs w:val="18"/>
              </w:rPr>
              <w:t>Type du document</w:t>
            </w:r>
          </w:p>
        </w:tc>
        <w:tc>
          <w:tcPr>
            <w:tcW w:w="1134" w:type="dxa"/>
            <w:shd w:val="clear" w:color="auto" w:fill="B8CCE4"/>
          </w:tcPr>
          <w:p>
            <w:pPr>
              <w:pStyle w:val="En-tte"/>
              <w:jc w:val="center"/>
              <w:rPr>
                <w:rFonts w:cs="CG Times (W1)"/>
                <w:b/>
                <w:sz w:val="18"/>
                <w:szCs w:val="18"/>
              </w:rPr>
            </w:pPr>
            <w:r>
              <w:rPr>
                <w:rFonts w:cs="CG Times (W1)"/>
                <w:b/>
                <w:sz w:val="18"/>
                <w:szCs w:val="18"/>
              </w:rPr>
              <w:t>Origine</w:t>
            </w:r>
          </w:p>
        </w:tc>
        <w:tc>
          <w:tcPr>
            <w:tcW w:w="3544" w:type="dxa"/>
            <w:shd w:val="clear" w:color="auto" w:fill="B8CCE4"/>
          </w:tcPr>
          <w:p>
            <w:pPr>
              <w:pStyle w:val="En-tte"/>
              <w:jc w:val="center"/>
              <w:rPr>
                <w:rFonts w:cs="CG Times (W1)"/>
                <w:b/>
                <w:sz w:val="18"/>
                <w:szCs w:val="18"/>
              </w:rPr>
            </w:pPr>
            <w:r>
              <w:rPr>
                <w:rFonts w:cs="CG Times (W1)"/>
                <w:b/>
                <w:sz w:val="18"/>
                <w:szCs w:val="18"/>
              </w:rPr>
              <w:t>Nom du document</w:t>
            </w:r>
          </w:p>
        </w:tc>
        <w:tc>
          <w:tcPr>
            <w:tcW w:w="1701" w:type="dxa"/>
            <w:shd w:val="clear" w:color="auto" w:fill="B8CCE4"/>
          </w:tcPr>
          <w:p>
            <w:pPr>
              <w:pStyle w:val="En-tte"/>
              <w:jc w:val="center"/>
              <w:rPr>
                <w:rFonts w:cs="CG Times (W1)"/>
                <w:b/>
                <w:sz w:val="18"/>
                <w:szCs w:val="18"/>
              </w:rPr>
            </w:pPr>
            <w:r>
              <w:rPr>
                <w:rFonts w:cs="CG Times (W1)"/>
                <w:b/>
                <w:sz w:val="18"/>
                <w:szCs w:val="18"/>
              </w:rPr>
              <w:t>Date</w:t>
            </w:r>
          </w:p>
        </w:tc>
      </w:tr>
      <w:tr>
        <w:tc>
          <w:tcPr>
            <w:tcW w:w="3290" w:type="dxa"/>
            <w:shd w:val="clear" w:color="auto" w:fill="auto"/>
          </w:tcPr>
          <w:p>
            <w:pPr>
              <w:rPr>
                <w:sz w:val="20"/>
              </w:rPr>
            </w:pPr>
            <w:r>
              <w:rPr>
                <w:sz w:val="20"/>
              </w:rPr>
              <w:t>Version 00.04.00 du Noyau RH FPE</w:t>
            </w:r>
          </w:p>
        </w:tc>
        <w:tc>
          <w:tcPr>
            <w:tcW w:w="1134" w:type="dxa"/>
            <w:shd w:val="clear" w:color="auto" w:fill="auto"/>
          </w:tcPr>
          <w:p>
            <w:pPr>
              <w:rPr>
                <w:sz w:val="20"/>
              </w:rPr>
            </w:pPr>
            <w:r>
              <w:rPr>
                <w:sz w:val="20"/>
              </w:rPr>
              <w:t>Noyau RH FPE</w:t>
            </w:r>
          </w:p>
        </w:tc>
        <w:tc>
          <w:tcPr>
            <w:tcW w:w="3544" w:type="dxa"/>
            <w:shd w:val="clear" w:color="auto" w:fill="auto"/>
          </w:tcPr>
          <w:p>
            <w:pPr>
              <w:rPr>
                <w:sz w:val="20"/>
              </w:rPr>
            </w:pPr>
            <w:r>
              <w:rPr>
                <w:sz w:val="20"/>
              </w:rPr>
              <w:t>Dictionnaire des données_00 04 00.xls</w:t>
            </w:r>
          </w:p>
        </w:tc>
        <w:tc>
          <w:tcPr>
            <w:tcW w:w="1701" w:type="dxa"/>
            <w:shd w:val="clear" w:color="auto" w:fill="auto"/>
          </w:tcPr>
          <w:p>
            <w:pPr>
              <w:rPr>
                <w:sz w:val="20"/>
              </w:rPr>
            </w:pPr>
            <w:r>
              <w:rPr>
                <w:sz w:val="20"/>
              </w:rPr>
              <w:t>31/07/2013</w:t>
            </w:r>
          </w:p>
        </w:tc>
      </w:tr>
      <w:tr>
        <w:tc>
          <w:tcPr>
            <w:tcW w:w="3290" w:type="dxa"/>
            <w:shd w:val="clear" w:color="auto" w:fill="auto"/>
          </w:tcPr>
          <w:p>
            <w:pPr>
              <w:rPr>
                <w:sz w:val="20"/>
              </w:rPr>
            </w:pPr>
            <w:r>
              <w:rPr>
                <w:sz w:val="20"/>
              </w:rPr>
              <w:t>Version 00.05.10 du Noyau RH FPE</w:t>
            </w:r>
          </w:p>
        </w:tc>
        <w:tc>
          <w:tcPr>
            <w:tcW w:w="1134" w:type="dxa"/>
            <w:shd w:val="clear" w:color="auto" w:fill="auto"/>
          </w:tcPr>
          <w:p>
            <w:pPr>
              <w:rPr>
                <w:sz w:val="20"/>
              </w:rPr>
            </w:pPr>
            <w:r>
              <w:rPr>
                <w:sz w:val="20"/>
              </w:rPr>
              <w:t>Noyau RH FPE</w:t>
            </w:r>
          </w:p>
        </w:tc>
        <w:tc>
          <w:tcPr>
            <w:tcW w:w="3544" w:type="dxa"/>
            <w:shd w:val="clear" w:color="auto" w:fill="auto"/>
          </w:tcPr>
          <w:p>
            <w:pPr>
              <w:rPr>
                <w:sz w:val="20"/>
              </w:rPr>
            </w:pPr>
            <w:r>
              <w:rPr>
                <w:sz w:val="20"/>
              </w:rPr>
              <w:t>Dictionnaire des données_00 05 10.xls</w:t>
            </w:r>
          </w:p>
        </w:tc>
        <w:tc>
          <w:tcPr>
            <w:tcW w:w="1701" w:type="dxa"/>
            <w:shd w:val="clear" w:color="auto" w:fill="auto"/>
          </w:tcPr>
          <w:p>
            <w:pPr>
              <w:rPr>
                <w:sz w:val="20"/>
              </w:rPr>
            </w:pPr>
            <w:r>
              <w:rPr>
                <w:sz w:val="20"/>
              </w:rPr>
              <w:t>25/11/2015</w:t>
            </w:r>
          </w:p>
        </w:tc>
      </w:tr>
      <w:tr>
        <w:tc>
          <w:tcPr>
            <w:tcW w:w="3290" w:type="dxa"/>
            <w:shd w:val="clear" w:color="auto" w:fill="auto"/>
          </w:tcPr>
          <w:p>
            <w:pPr>
              <w:rPr>
                <w:sz w:val="20"/>
              </w:rPr>
            </w:pPr>
            <w:r>
              <w:rPr>
                <w:sz w:val="20"/>
              </w:rPr>
              <w:t>Version 16.00 du Noyau RH FPE</w:t>
            </w:r>
          </w:p>
        </w:tc>
        <w:tc>
          <w:tcPr>
            <w:tcW w:w="1134" w:type="dxa"/>
            <w:shd w:val="clear" w:color="auto" w:fill="auto"/>
          </w:tcPr>
          <w:p>
            <w:pPr>
              <w:rPr>
                <w:sz w:val="20"/>
              </w:rPr>
            </w:pPr>
            <w:r>
              <w:rPr>
                <w:sz w:val="20"/>
              </w:rPr>
              <w:t>Noyau RH FPE</w:t>
            </w:r>
          </w:p>
        </w:tc>
        <w:tc>
          <w:tcPr>
            <w:tcW w:w="3544" w:type="dxa"/>
            <w:shd w:val="clear" w:color="auto" w:fill="auto"/>
          </w:tcPr>
          <w:p>
            <w:pPr>
              <w:rPr>
                <w:sz w:val="20"/>
              </w:rPr>
            </w:pPr>
            <w:r>
              <w:rPr>
                <w:sz w:val="20"/>
              </w:rPr>
              <w:t>Dictionnaire des données_16 00 00.xls</w:t>
            </w:r>
          </w:p>
        </w:tc>
        <w:tc>
          <w:tcPr>
            <w:tcW w:w="1701" w:type="dxa"/>
            <w:shd w:val="clear" w:color="auto" w:fill="auto"/>
          </w:tcPr>
          <w:p>
            <w:pPr>
              <w:rPr>
                <w:sz w:val="20"/>
              </w:rPr>
            </w:pPr>
            <w:r>
              <w:rPr>
                <w:sz w:val="20"/>
              </w:rPr>
              <w:t>08/07/2016</w:t>
            </w:r>
          </w:p>
        </w:tc>
      </w:tr>
      <w:tr>
        <w:tc>
          <w:tcPr>
            <w:tcW w:w="3290" w:type="dxa"/>
            <w:shd w:val="clear" w:color="auto" w:fill="auto"/>
            <w:vAlign w:val="center"/>
          </w:tcPr>
          <w:p>
            <w:pPr>
              <w:rPr>
                <w:sz w:val="20"/>
              </w:rPr>
            </w:pPr>
            <w:r>
              <w:rPr>
                <w:sz w:val="20"/>
              </w:rPr>
              <w:t>Documentation technique du service d’échange</w:t>
            </w:r>
          </w:p>
        </w:tc>
        <w:tc>
          <w:tcPr>
            <w:tcW w:w="1134" w:type="dxa"/>
            <w:shd w:val="clear" w:color="auto" w:fill="auto"/>
            <w:vAlign w:val="center"/>
          </w:tcPr>
          <w:p>
            <w:pPr>
              <w:rPr>
                <w:sz w:val="20"/>
              </w:rPr>
            </w:pPr>
            <w:r>
              <w:rPr>
                <w:sz w:val="20"/>
              </w:rPr>
              <w:t>Bureau technique</w:t>
            </w:r>
          </w:p>
        </w:tc>
        <w:tc>
          <w:tcPr>
            <w:tcW w:w="3544" w:type="dxa"/>
            <w:shd w:val="clear" w:color="auto" w:fill="auto"/>
          </w:tcPr>
          <w:p>
            <w:pPr>
              <w:rPr>
                <w:sz w:val="20"/>
              </w:rPr>
            </w:pPr>
            <w:r>
              <w:rPr>
                <w:sz w:val="20"/>
              </w:rPr>
              <w:t>CISIRH-BT-ARC-Cadre_normatif_interne_SE_v1.1.doc</w:t>
            </w:r>
          </w:p>
        </w:tc>
        <w:tc>
          <w:tcPr>
            <w:tcW w:w="1701" w:type="dxa"/>
            <w:shd w:val="clear" w:color="auto" w:fill="auto"/>
          </w:tcPr>
          <w:p>
            <w:pPr>
              <w:rPr>
                <w:sz w:val="20"/>
              </w:rPr>
            </w:pPr>
            <w:r>
              <w:rPr>
                <w:sz w:val="20"/>
              </w:rPr>
              <w:t>07/04/2015</w:t>
            </w:r>
          </w:p>
        </w:tc>
      </w:tr>
    </w:tbl>
    <w:p>
      <w:pPr>
        <w:suppressAutoHyphens w:val="0"/>
        <w:spacing w:before="0" w:after="0" w:line="240" w:lineRule="auto"/>
        <w:rPr>
          <w:rFonts w:cs="Times New Roman"/>
          <w:b/>
          <w:sz w:val="40"/>
        </w:rPr>
      </w:pPr>
      <w:bookmarkStart w:id="3" w:name="__RefHeading__18748_311501736"/>
      <w:bookmarkStart w:id="4" w:name="__RefHeading__19259_311501736"/>
      <w:bookmarkStart w:id="5" w:name="_Nomenclatures_décrivant_un"/>
      <w:bookmarkStart w:id="6" w:name="_Toc20761121"/>
      <w:bookmarkStart w:id="7" w:name="_Toc420486202"/>
      <w:bookmarkEnd w:id="3"/>
      <w:bookmarkEnd w:id="4"/>
      <w:bookmarkEnd w:id="5"/>
      <w:r>
        <w:br w:type="page"/>
      </w:r>
    </w:p>
    <w:p>
      <w:pPr>
        <w:pStyle w:val="Titre1"/>
        <w:keepLines w:val="0"/>
        <w:pageBreakBefore w:val="0"/>
        <w:pBdr>
          <w:top w:val="single" w:sz="12" w:space="1" w:color="365F91"/>
          <w:bottom w:val="single" w:sz="12" w:space="1" w:color="365F91"/>
        </w:pBdr>
        <w:shd w:val="clear" w:color="auto" w:fill="FFFFFF"/>
        <w:tabs>
          <w:tab w:val="clear" w:pos="567"/>
          <w:tab w:val="clear" w:pos="851"/>
          <w:tab w:val="num" w:pos="740"/>
        </w:tabs>
        <w:suppressAutoHyphens w:val="0"/>
        <w:spacing w:before="360" w:after="360" w:line="240" w:lineRule="auto"/>
        <w:ind w:left="740"/>
        <w:jc w:val="both"/>
      </w:pPr>
      <w:r>
        <w:lastRenderedPageBreak/>
        <w:t>Contexte</w:t>
      </w:r>
      <w:bookmarkEnd w:id="6"/>
    </w:p>
    <w:p>
      <w:pPr>
        <w:pStyle w:val="Corpsdetexte"/>
        <w:tabs>
          <w:tab w:val="left" w:pos="0"/>
        </w:tabs>
        <w:ind w:left="1"/>
        <w:jc w:val="both"/>
      </w:pPr>
      <w:r>
        <w:t xml:space="preserve">Initialement, la production d’un noyau commun à la Fonction Publique d’Etat (FPE) avait pour objectif de mettre à disposition </w:t>
      </w:r>
      <w:r>
        <w:rPr>
          <w:b/>
          <w:bCs/>
        </w:rPr>
        <w:t xml:space="preserve">des ministères des référentiels communs </w:t>
      </w:r>
      <w:r>
        <w:t>à jour, à intégrer dans leurs SIRH.</w:t>
      </w:r>
    </w:p>
    <w:p>
      <w:pPr>
        <w:pStyle w:val="Corpsdetexte"/>
        <w:tabs>
          <w:tab w:val="left" w:pos="0"/>
        </w:tabs>
        <w:ind w:left="1"/>
        <w:jc w:val="both"/>
      </w:pPr>
      <w:r>
        <w:t xml:space="preserve">Ces référentiels communs avaient pour finalité de : </w:t>
      </w:r>
    </w:p>
    <w:p>
      <w:pPr>
        <w:pStyle w:val="Corpsdetexte"/>
        <w:numPr>
          <w:ilvl w:val="0"/>
          <w:numId w:val="106"/>
        </w:numPr>
        <w:ind w:left="609"/>
        <w:jc w:val="both"/>
      </w:pPr>
      <w:r>
        <w:t xml:space="preserve">Garantir </w:t>
      </w:r>
      <w:r>
        <w:rPr>
          <w:bCs/>
        </w:rPr>
        <w:t xml:space="preserve">une interprétation unique des textes </w:t>
      </w:r>
      <w:r>
        <w:t>règlementaires</w:t>
      </w:r>
    </w:p>
    <w:p>
      <w:pPr>
        <w:pStyle w:val="Corpsdetexte"/>
        <w:numPr>
          <w:ilvl w:val="0"/>
          <w:numId w:val="106"/>
        </w:numPr>
        <w:ind w:left="609"/>
        <w:jc w:val="both"/>
        <w:rPr>
          <w:bCs/>
        </w:rPr>
      </w:pPr>
      <w:r>
        <w:t xml:space="preserve">Permettre la </w:t>
      </w:r>
      <w:r>
        <w:rPr>
          <w:bCs/>
        </w:rPr>
        <w:t xml:space="preserve">convergence, l’harmonisation des SIRH et ainsi garantir leur interopérabilité </w:t>
      </w:r>
    </w:p>
    <w:p>
      <w:pPr>
        <w:pStyle w:val="Corpsdetexte"/>
        <w:numPr>
          <w:ilvl w:val="0"/>
          <w:numId w:val="106"/>
        </w:numPr>
        <w:ind w:left="609"/>
        <w:jc w:val="both"/>
      </w:pPr>
      <w:r>
        <w:rPr>
          <w:bCs/>
        </w:rPr>
        <w:t xml:space="preserve">Assurer </w:t>
      </w:r>
      <w:r>
        <w:t xml:space="preserve">la </w:t>
      </w:r>
      <w:r>
        <w:rPr>
          <w:bCs/>
        </w:rPr>
        <w:t xml:space="preserve">gestion des ressources humaines et la paye des agents </w:t>
      </w:r>
      <w:r>
        <w:t xml:space="preserve">sur </w:t>
      </w:r>
      <w:r>
        <w:rPr>
          <w:bCs/>
        </w:rPr>
        <w:t>des bases réglementaires communes</w:t>
      </w:r>
    </w:p>
    <w:p>
      <w:pPr>
        <w:pStyle w:val="Corpsdetexte"/>
        <w:ind w:left="609"/>
        <w:jc w:val="both"/>
      </w:pPr>
    </w:p>
    <w:p>
      <w:pPr>
        <w:tabs>
          <w:tab w:val="left" w:pos="0"/>
        </w:tabs>
        <w:ind w:left="1"/>
        <w:jc w:val="both"/>
      </w:pPr>
      <w:r>
        <w:t>Dans le contexte du CISIRH, la production du Noyau est confirmée pour répondre à l’ambition de modernisation de la fonction RH :</w:t>
      </w:r>
    </w:p>
    <w:p>
      <w:pPr>
        <w:numPr>
          <w:ilvl w:val="0"/>
          <w:numId w:val="114"/>
        </w:numPr>
        <w:tabs>
          <w:tab w:val="left" w:pos="0"/>
        </w:tabs>
        <w:ind w:left="609"/>
        <w:jc w:val="both"/>
      </w:pPr>
      <w:r>
        <w:t>Harmoniser et mutualiser les pratiques aujourd’hui disparates notamment en ce qui concerne les concepts et les contrôles mobilisés par la chaîne RH-Paye</w:t>
      </w:r>
    </w:p>
    <w:p>
      <w:pPr>
        <w:numPr>
          <w:ilvl w:val="0"/>
          <w:numId w:val="106"/>
        </w:numPr>
        <w:tabs>
          <w:tab w:val="left" w:pos="0"/>
        </w:tabs>
        <w:ind w:left="609"/>
        <w:jc w:val="both"/>
      </w:pPr>
      <w:r>
        <w:t>Organiser la convergence et la maintenabilité des composants RH et Paye selon un modèle optimisé</w:t>
      </w:r>
    </w:p>
    <w:p>
      <w:pPr>
        <w:numPr>
          <w:ilvl w:val="0"/>
          <w:numId w:val="106"/>
        </w:numPr>
        <w:tabs>
          <w:tab w:val="left" w:pos="0"/>
        </w:tabs>
        <w:ind w:left="609"/>
        <w:jc w:val="both"/>
      </w:pPr>
      <w:r>
        <w:t>Garantir à terme l’interopérabilité des SI notamment les SIRH entre eux et avec PAY</w:t>
      </w:r>
    </w:p>
    <w:p>
      <w:pPr>
        <w:tabs>
          <w:tab w:val="left" w:pos="0"/>
        </w:tabs>
        <w:ind w:left="1"/>
      </w:pPr>
    </w:p>
    <w:p>
      <w:pPr>
        <w:tabs>
          <w:tab w:val="left" w:pos="0"/>
        </w:tabs>
        <w:ind w:left="1"/>
        <w:jc w:val="both"/>
      </w:pPr>
      <w:r>
        <w:t>La mise en application de référentiels partagés par l’ensemble des acteurs et applications de chaîne RH-Paye participe à ces objectifs.</w:t>
      </w:r>
    </w:p>
    <w:p>
      <w:pPr>
        <w:ind w:left="1"/>
        <w:jc w:val="both"/>
      </w:pPr>
      <w:r>
        <w:t>Cet ensemble de référentiels est constitué d’éléments hétérogènes, que ce soit dans leur nature, leur volume, le niveau de structuration de leur contenu respectif, ainsi que dans l’usage auquel ils se destinent et le processus de mise à jour associé. Dans ce cadre, il a été décidé de se doter, au cœur du système d’information du CISIRH, d’une application dédiée à la gestion de ces référentiels : INGRES (INstruments de Gestion des REférentielS).</w:t>
      </w:r>
    </w:p>
    <w:p>
      <w:pPr>
        <w:ind w:left="1"/>
        <w:jc w:val="both"/>
      </w:pPr>
      <w:r>
        <w:t xml:space="preserve">Son but est de détenir et de maintenir la version maîtresse de l’ensemble des référentiels en vue d’assurer leur diffusion aux différents SI de la chaîne. Cet outil sera en cible l’interface unique de mise à jour des référentiels. </w:t>
      </w:r>
    </w:p>
    <w:p>
      <w:pPr>
        <w:ind w:left="1"/>
      </w:pPr>
    </w:p>
    <w:p>
      <w:pPr>
        <w:ind w:left="1"/>
      </w:pPr>
      <w:r>
        <w:t>Pour parfaire le processus de maintenance des référentiels, et afin que leur contenu reste à jour pour demeurer applicable, les différents SI de la chaîne doivent prévoir des échanges automatiques avec INGRES via le service d’échange.</w:t>
      </w:r>
    </w:p>
    <w:p>
      <w:pPr>
        <w:ind w:left="1"/>
      </w:pPr>
      <w:r>
        <w:t xml:space="preserve">Les principes retenus sont les suivants : </w:t>
      </w:r>
    </w:p>
    <w:p>
      <w:pPr>
        <w:numPr>
          <w:ilvl w:val="0"/>
          <w:numId w:val="184"/>
        </w:numPr>
        <w:tabs>
          <w:tab w:val="clear" w:pos="720"/>
          <w:tab w:val="num" w:pos="721"/>
        </w:tabs>
        <w:suppressAutoHyphens w:val="0"/>
        <w:spacing w:line="240" w:lineRule="auto"/>
        <w:ind w:left="721"/>
        <w:jc w:val="both"/>
      </w:pPr>
      <w:r>
        <w:t xml:space="preserve">Les échanges ne concernent que les référentiels comprenant des données structurées sous la forme de codes et libellés, complétées par d’autres attributs selon les cas (civilité, </w:t>
      </w:r>
      <w:r>
        <w:lastRenderedPageBreak/>
        <w:t>code postal, corps et grade de la fonction publique, position, etc.). Ces référentiels, définis dans le dictionnaire du Noyau RH-FPE, sont nommés nomenclatures.</w:t>
      </w:r>
    </w:p>
    <w:p>
      <w:pPr>
        <w:numPr>
          <w:ilvl w:val="0"/>
          <w:numId w:val="184"/>
        </w:numPr>
        <w:tabs>
          <w:tab w:val="clear" w:pos="720"/>
          <w:tab w:val="num" w:pos="721"/>
        </w:tabs>
        <w:suppressAutoHyphens w:val="0"/>
        <w:spacing w:line="240" w:lineRule="auto"/>
        <w:ind w:left="721"/>
        <w:jc w:val="both"/>
      </w:pPr>
      <w:r>
        <w:t xml:space="preserve">Les échanges entre les systèmes tiers (dont l’application OSIRH) et l’outil de gestion des référentiels ont vocation à être mis en œuvre au travers du Service d’Échange (SE). Le SE est le passage obligé des informations sortantes et entrantes pour les référentiels à destination et en provenance de INGRES. </w:t>
      </w:r>
    </w:p>
    <w:p>
      <w:pPr>
        <w:ind w:left="1"/>
      </w:pPr>
    </w:p>
    <w:p>
      <w:pPr>
        <w:tabs>
          <w:tab w:val="left" w:pos="0"/>
        </w:tabs>
        <w:ind w:left="1"/>
      </w:pPr>
    </w:p>
    <w:p>
      <w:pPr>
        <w:tabs>
          <w:tab w:val="left" w:pos="0"/>
        </w:tabs>
        <w:ind w:left="1"/>
      </w:pPr>
    </w:p>
    <w:p>
      <w:pPr>
        <w:pStyle w:val="Titre1"/>
        <w:keepLines w:val="0"/>
        <w:pBdr>
          <w:top w:val="single" w:sz="12" w:space="1" w:color="365F91"/>
          <w:bottom w:val="single" w:sz="12" w:space="1" w:color="365F91"/>
        </w:pBdr>
        <w:shd w:val="clear" w:color="auto" w:fill="FFFFFF"/>
        <w:tabs>
          <w:tab w:val="clear" w:pos="567"/>
          <w:tab w:val="clear" w:pos="851"/>
          <w:tab w:val="num" w:pos="740"/>
        </w:tabs>
        <w:suppressAutoHyphens w:val="0"/>
        <w:spacing w:before="360" w:after="360" w:line="240" w:lineRule="auto"/>
        <w:ind w:left="738"/>
        <w:jc w:val="both"/>
      </w:pPr>
      <w:bookmarkStart w:id="8" w:name="_Toc20761122"/>
      <w:r>
        <w:lastRenderedPageBreak/>
        <w:t>Objet du document</w:t>
      </w:r>
      <w:bookmarkEnd w:id="7"/>
      <w:bookmarkEnd w:id="8"/>
    </w:p>
    <w:p>
      <w:pPr>
        <w:jc w:val="both"/>
      </w:pPr>
      <w:r>
        <w:t xml:space="preserve">Le présent document constitue le dossier des Spécifications des interfaces sortantes des INstruments de Gestion des REférentielS (INGRES) du CISIRH. Son périmètre se limite au processus  d’émission des fichiers depuis l’outil INGRES. </w:t>
      </w:r>
    </w:p>
    <w:p>
      <w:pPr>
        <w:pStyle w:val="ONPCorpsdetexte"/>
        <w:ind w:left="1"/>
        <w:jc w:val="both"/>
      </w:pPr>
    </w:p>
    <w:p>
      <w:pPr>
        <w:pStyle w:val="ONPCorpsdetexte"/>
        <w:ind w:left="1"/>
        <w:jc w:val="both"/>
      </w:pPr>
      <w:r>
        <w:t>Ce document a pour objectif de centraliser les éléments communs aux interfaces sortantes de l’application INGRES.</w:t>
      </w:r>
    </w:p>
    <w:p>
      <w:pPr>
        <w:pStyle w:val="ONPCorpsdetexte"/>
        <w:ind w:left="1"/>
        <w:jc w:val="both"/>
      </w:pPr>
      <w:r>
        <w:t xml:space="preserve">Après une présentation des nomenclatures, la deuxième partie de ce document est consacrée à la présentation des règles de constitution des fichiers de mise à jour de référentiels appliquées au niveau de l’outil INGRES. Ces règles détaillent : </w:t>
      </w:r>
    </w:p>
    <w:p>
      <w:pPr>
        <w:pStyle w:val="ONPPoint1"/>
        <w:numPr>
          <w:ilvl w:val="0"/>
          <w:numId w:val="222"/>
        </w:numPr>
        <w:jc w:val="both"/>
      </w:pPr>
      <w:r>
        <w:t xml:space="preserve">La structure des fichiers INGRES et le formalisme XML sur lequel se basent ces fichiers, </w:t>
      </w:r>
    </w:p>
    <w:p>
      <w:pPr>
        <w:pStyle w:val="ONPPoint1"/>
        <w:numPr>
          <w:ilvl w:val="0"/>
          <w:numId w:val="222"/>
        </w:numPr>
        <w:jc w:val="both"/>
      </w:pPr>
      <w:r>
        <w:t xml:space="preserve">Les règles d’alimentation des fichiers INGRES, </w:t>
      </w:r>
    </w:p>
    <w:p>
      <w:pPr>
        <w:pStyle w:val="ONPCorpsdetexte"/>
        <w:ind w:left="1"/>
        <w:jc w:val="both"/>
        <w:rPr>
          <w:shd w:val="clear" w:color="auto" w:fill="FFFF00"/>
        </w:rPr>
      </w:pPr>
      <w:r>
        <w:t xml:space="preserve">Enfin, la troisième et dernière partie de ce document décrit les caractéristiques techniques des interfaces du Service d’Échange utilisées dans le cadre de la gestion des flux INGRES – SI Partenaires. </w:t>
      </w:r>
    </w:p>
    <w:p>
      <w:pPr>
        <w:pStyle w:val="Titre1"/>
        <w:keepLines w:val="0"/>
        <w:pBdr>
          <w:top w:val="single" w:sz="12" w:space="1" w:color="365F91"/>
          <w:bottom w:val="single" w:sz="12" w:space="1" w:color="365F91"/>
        </w:pBdr>
        <w:shd w:val="clear" w:color="auto" w:fill="FFFFFF"/>
        <w:tabs>
          <w:tab w:val="clear" w:pos="567"/>
          <w:tab w:val="clear" w:pos="851"/>
          <w:tab w:val="num" w:pos="740"/>
        </w:tabs>
        <w:suppressAutoHyphens w:val="0"/>
        <w:spacing w:before="360" w:after="360" w:line="240" w:lineRule="auto"/>
        <w:ind w:left="738"/>
        <w:jc w:val="both"/>
      </w:pPr>
      <w:bookmarkStart w:id="9" w:name="_Toc420486203"/>
      <w:bookmarkStart w:id="10" w:name="_Toc20761123"/>
      <w:r>
        <w:lastRenderedPageBreak/>
        <w:t xml:space="preserve">Présentation </w:t>
      </w:r>
      <w:bookmarkEnd w:id="9"/>
      <w:r>
        <w:t>des nomenclatures</w:t>
      </w:r>
      <w:bookmarkEnd w:id="10"/>
    </w:p>
    <w:p>
      <w:pPr>
        <w:pStyle w:val="Titre2"/>
      </w:pPr>
      <w:bookmarkStart w:id="11" w:name="__RefHeading__1515_1378251362"/>
      <w:bookmarkStart w:id="12" w:name="__RefHeading__18750_311501736"/>
      <w:bookmarkStart w:id="13" w:name="_Toc421017443"/>
      <w:bookmarkStart w:id="14" w:name="_Toc421017505"/>
      <w:bookmarkStart w:id="15" w:name="_Toc20761124"/>
      <w:bookmarkEnd w:id="11"/>
      <w:bookmarkEnd w:id="12"/>
      <w:bookmarkEnd w:id="13"/>
      <w:bookmarkEnd w:id="14"/>
      <w:r>
        <w:t>Généralités</w:t>
      </w:r>
      <w:bookmarkEnd w:id="15"/>
    </w:p>
    <w:p>
      <w:pPr>
        <w:tabs>
          <w:tab w:val="left" w:pos="0"/>
        </w:tabs>
        <w:ind w:left="1"/>
        <w:jc w:val="both"/>
      </w:pPr>
      <w:r>
        <w:t>Une nomenclature est une liste de valeurs structurées, le plus souvent composée d’un code et de libellés, éventuellement complétés par d’autres attributs variables d’une nomenclature à l’autre.</w:t>
      </w:r>
    </w:p>
    <w:p>
      <w:pPr>
        <w:pStyle w:val="ONPCorpsdetexte"/>
        <w:tabs>
          <w:tab w:val="left" w:pos="4536"/>
        </w:tabs>
        <w:spacing w:before="260" w:line="240" w:lineRule="atLeast"/>
        <w:ind w:left="181" w:hanging="180"/>
        <w:jc w:val="both"/>
      </w:pPr>
      <w:r>
        <w:t>Il existe deux types de nomenclature </w:t>
      </w:r>
    </w:p>
    <w:p>
      <w:pPr>
        <w:pStyle w:val="ONPPoint1"/>
        <w:tabs>
          <w:tab w:val="clear" w:pos="0"/>
          <w:tab w:val="clear" w:pos="284"/>
          <w:tab w:val="num" w:pos="-111"/>
          <w:tab w:val="left" w:pos="709"/>
        </w:tabs>
        <w:spacing w:before="260" w:line="240" w:lineRule="atLeast"/>
        <w:ind w:left="598" w:hanging="180"/>
        <w:jc w:val="both"/>
      </w:pPr>
      <w:r>
        <w:t>Des nomenclatures produites directement dans INGRES par des gestionnaires de référentiels. Dans ce cas, deux sortes de référentiels sont à distinguer :</w:t>
      </w:r>
    </w:p>
    <w:p>
      <w:pPr>
        <w:pStyle w:val="ONPPoint1"/>
        <w:numPr>
          <w:ilvl w:val="1"/>
          <w:numId w:val="28"/>
        </w:numPr>
        <w:tabs>
          <w:tab w:val="clear" w:pos="0"/>
          <w:tab w:val="num" w:pos="-111"/>
        </w:tabs>
        <w:ind w:left="969"/>
        <w:jc w:val="both"/>
      </w:pPr>
      <w:r>
        <w:t xml:space="preserve">Les nomenclatures dont le CISIRH est gestionnaire </w:t>
      </w:r>
    </w:p>
    <w:p>
      <w:pPr>
        <w:pStyle w:val="ONPPoint1"/>
        <w:numPr>
          <w:ilvl w:val="1"/>
          <w:numId w:val="28"/>
        </w:numPr>
        <w:tabs>
          <w:tab w:val="clear" w:pos="0"/>
          <w:tab w:val="num" w:pos="-111"/>
        </w:tabs>
        <w:ind w:left="969"/>
        <w:jc w:val="both"/>
      </w:pPr>
      <w:r>
        <w:t>Les nomenclatures dont le CISIRH n’est pas gestionnaire (ex. référentiels de classification centraux, dépendants de chaque ministère)</w:t>
      </w:r>
    </w:p>
    <w:p>
      <w:pPr>
        <w:pStyle w:val="ONPPoint1"/>
        <w:tabs>
          <w:tab w:val="clear" w:pos="0"/>
          <w:tab w:val="clear" w:pos="284"/>
          <w:tab w:val="num" w:pos="-111"/>
          <w:tab w:val="left" w:pos="709"/>
        </w:tabs>
        <w:spacing w:before="260" w:line="240" w:lineRule="atLeast"/>
        <w:ind w:left="598" w:hanging="180"/>
        <w:jc w:val="both"/>
      </w:pPr>
      <w:r>
        <w:t>Des nomenclatures alimentées automatiquement par des flux en provenance de partenaires externes du CISIRH (ex. Chorus, DGFiP), et qui sont la propriété de ces partenaires externes.</w:t>
      </w:r>
    </w:p>
    <w:p>
      <w:pPr>
        <w:tabs>
          <w:tab w:val="left" w:pos="0"/>
        </w:tabs>
        <w:ind w:left="1"/>
        <w:jc w:val="both"/>
      </w:pPr>
    </w:p>
    <w:p>
      <w:pPr>
        <w:tabs>
          <w:tab w:val="left" w:pos="0"/>
        </w:tabs>
        <w:ind w:left="1"/>
        <w:jc w:val="both"/>
      </w:pPr>
    </w:p>
    <w:p>
      <w:pPr>
        <w:tabs>
          <w:tab w:val="left" w:pos="0"/>
        </w:tabs>
        <w:ind w:left="1"/>
        <w:jc w:val="both"/>
      </w:pPr>
      <w:r>
        <w:rPr>
          <w:noProof/>
          <w:lang w:eastAsia="fr-FR"/>
        </w:rPr>
        <w:drawing>
          <wp:inline distT="0" distB="0" distL="0" distR="0">
            <wp:extent cx="5753100" cy="28003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800350"/>
                    </a:xfrm>
                    <a:prstGeom prst="rect">
                      <a:avLst/>
                    </a:prstGeom>
                    <a:solidFill>
                      <a:srgbClr val="FFFFFF"/>
                    </a:solidFill>
                    <a:ln>
                      <a:noFill/>
                    </a:ln>
                  </pic:spPr>
                </pic:pic>
              </a:graphicData>
            </a:graphic>
          </wp:inline>
        </w:drawing>
      </w:r>
    </w:p>
    <w:p>
      <w:pPr>
        <w:tabs>
          <w:tab w:val="left" w:pos="0"/>
        </w:tabs>
        <w:ind w:left="1"/>
        <w:jc w:val="both"/>
      </w:pPr>
    </w:p>
    <w:p>
      <w:pPr>
        <w:tabs>
          <w:tab w:val="left" w:pos="0"/>
          <w:tab w:val="left" w:pos="142"/>
        </w:tabs>
        <w:ind w:left="1"/>
        <w:jc w:val="both"/>
      </w:pPr>
      <w:r>
        <w:t xml:space="preserve">Le contenu des nomenclatures est destiné à être utilisé par les applications informatiques pour leur permettre de fonctionner sur la base d’informations mutualisées entre les différents SI de la chaîne RH/PAYE/Post-PAYE. </w:t>
      </w:r>
    </w:p>
    <w:p>
      <w:pPr>
        <w:ind w:left="1"/>
        <w:jc w:val="both"/>
      </w:pPr>
      <w:bookmarkStart w:id="16" w:name="__RefHeading__19257_311501736"/>
      <w:bookmarkStart w:id="17" w:name="__RefHeading__18754_311501736"/>
      <w:bookmarkStart w:id="18" w:name="__RefHeading__19846_1827164272"/>
      <w:bookmarkStart w:id="19" w:name="__RefHeading__20257_1827164272"/>
      <w:bookmarkStart w:id="20" w:name="__RefHeading__20862_1827164272"/>
      <w:bookmarkStart w:id="21" w:name="__RefHeading__22723_1827164272"/>
      <w:bookmarkStart w:id="22" w:name="__RefHeading__23045_1827164272"/>
      <w:bookmarkEnd w:id="16"/>
      <w:bookmarkEnd w:id="17"/>
      <w:bookmarkEnd w:id="18"/>
      <w:bookmarkEnd w:id="19"/>
      <w:bookmarkEnd w:id="20"/>
      <w:bookmarkEnd w:id="21"/>
      <w:bookmarkEnd w:id="22"/>
      <w:r>
        <w:lastRenderedPageBreak/>
        <w:t>Le format et le contenu des nomenclatures sont décrits dans le Dictionnaire De Données (DDD) à l’exception du libellé abrégé qui ne figure pas dans le DDD. Effet cette donnée est spécifique de version HRa Suit9</w:t>
      </w:r>
    </w:p>
    <w:p>
      <w:pPr>
        <w:pStyle w:val="ONPPoint1"/>
        <w:tabs>
          <w:tab w:val="clear" w:pos="0"/>
          <w:tab w:val="num" w:pos="-111"/>
        </w:tabs>
        <w:ind w:left="249"/>
        <w:jc w:val="both"/>
      </w:pPr>
      <w:r>
        <w:t>L’onglet « Nomenclatures » et, à partir de la version 00.05.00 du Noyau, l’onglet « Nomenclatures fichier GEST » décrivent le contenu des nomenclatures, les listes de valeurs faisant l’objet des diffusions. C’est également dans ces onglets que sont précisés les formats liés à chaque nomenclature.</w:t>
      </w:r>
    </w:p>
    <w:p>
      <w:pPr>
        <w:pStyle w:val="ONPPoint1"/>
        <w:tabs>
          <w:tab w:val="clear" w:pos="0"/>
          <w:tab w:val="num" w:pos="-111"/>
        </w:tabs>
        <w:ind w:left="249"/>
        <w:jc w:val="both"/>
      </w:pPr>
      <w:r>
        <w:t>Les onglets Référentiels et, à partir de la version 00.05.00 du Noyau, «  Référentiels fichier GEST » définissent la structure des nomenclatures. Les formats des fichiers XML diffusés sont définis sur la base des informations portées par ces 2 onglets.</w:t>
      </w:r>
    </w:p>
    <w:p>
      <w:pPr>
        <w:pStyle w:val="Listepuces4"/>
        <w:numPr>
          <w:ilvl w:val="0"/>
          <w:numId w:val="0"/>
        </w:numPr>
        <w:ind w:left="1"/>
        <w:jc w:val="both"/>
      </w:pPr>
      <w:r>
        <w:t>Chacune des modifications apportées tant au format qu’au contenu d’une nomenclature est tracée et associée à la version du Noyau RH FPE dans laquelle la mise à jour a vocation à être publiée.</w:t>
      </w:r>
    </w:p>
    <w:p>
      <w:pPr>
        <w:pStyle w:val="Listepuces4"/>
        <w:numPr>
          <w:ilvl w:val="0"/>
          <w:numId w:val="0"/>
        </w:numPr>
        <w:ind w:left="1"/>
        <w:jc w:val="both"/>
      </w:pPr>
    </w:p>
    <w:p>
      <w:pPr>
        <w:pStyle w:val="Listepuces4"/>
        <w:numPr>
          <w:ilvl w:val="0"/>
          <w:numId w:val="0"/>
        </w:numPr>
        <w:ind w:left="1"/>
        <w:jc w:val="both"/>
      </w:pPr>
      <w:r>
        <w:t>Il existe deux types de version :</w:t>
      </w:r>
    </w:p>
    <w:p>
      <w:pPr>
        <w:pStyle w:val="ONPPoint1"/>
        <w:tabs>
          <w:tab w:val="clear" w:pos="0"/>
          <w:tab w:val="num" w:pos="-111"/>
        </w:tabs>
        <w:ind w:left="249"/>
        <w:jc w:val="both"/>
      </w:pPr>
      <w:r>
        <w:t>Les versions mineures, correspondant à la mise à jour du contenu des nomenclatures</w:t>
      </w:r>
    </w:p>
    <w:p>
      <w:pPr>
        <w:pStyle w:val="ONPPoint1"/>
        <w:tabs>
          <w:tab w:val="clear" w:pos="0"/>
          <w:tab w:val="num" w:pos="-111"/>
        </w:tabs>
        <w:ind w:left="249"/>
        <w:jc w:val="both"/>
      </w:pPr>
      <w:r>
        <w:t>Les versions majeures qui peuvent décrire, outre la mise à jour du contenu des nomenclatures, une évolution de leur structure.</w:t>
      </w:r>
    </w:p>
    <w:p>
      <w:pPr>
        <w:ind w:left="1"/>
        <w:jc w:val="both"/>
      </w:pPr>
      <w:r>
        <w:t xml:space="preserve">Chaque item du Dictionnaire de données est associé à un numéro de version correspondant à la version du Noyau RH FPE dans laquelle a été réalisée la dernière mise à jour ainsi qu’à un type de Mise à jour permettant de tracer l’acte de gestion effectué que ce soit sur un contenu de nomenclature ou sur son format. Ce type  peut prendre les valeurs suivantes : </w:t>
      </w:r>
    </w:p>
    <w:p>
      <w:pPr>
        <w:pStyle w:val="Puce"/>
        <w:numPr>
          <w:ilvl w:val="1"/>
          <w:numId w:val="12"/>
        </w:numPr>
        <w:tabs>
          <w:tab w:val="clear" w:pos="1440"/>
          <w:tab w:val="num" w:pos="1329"/>
        </w:tabs>
        <w:spacing w:before="0"/>
        <w:ind w:left="1329"/>
        <w:jc w:val="both"/>
        <w:rPr>
          <w:rFonts w:ascii="Times New Roman" w:hAnsi="Times New Roman" w:cs="Times New Roman"/>
          <w:sz w:val="24"/>
        </w:rPr>
      </w:pPr>
      <w:r>
        <w:rPr>
          <w:rFonts w:ascii="Times New Roman" w:hAnsi="Times New Roman" w:cs="Times New Roman"/>
          <w:sz w:val="24"/>
        </w:rPr>
        <w:t>A – pour un Ajout (une création de valeur)</w:t>
      </w:r>
    </w:p>
    <w:p>
      <w:pPr>
        <w:pStyle w:val="Puce"/>
        <w:numPr>
          <w:ilvl w:val="1"/>
          <w:numId w:val="12"/>
        </w:numPr>
        <w:tabs>
          <w:tab w:val="clear" w:pos="1440"/>
          <w:tab w:val="num" w:pos="1329"/>
        </w:tabs>
        <w:spacing w:before="0"/>
        <w:ind w:left="1329"/>
        <w:jc w:val="both"/>
        <w:rPr>
          <w:rFonts w:ascii="Times New Roman" w:hAnsi="Times New Roman" w:cs="Times New Roman"/>
          <w:sz w:val="24"/>
        </w:rPr>
      </w:pPr>
      <w:r>
        <w:rPr>
          <w:rFonts w:ascii="Times New Roman" w:hAnsi="Times New Roman" w:cs="Times New Roman"/>
          <w:sz w:val="24"/>
        </w:rPr>
        <w:t>M – pour une Modification</w:t>
      </w:r>
    </w:p>
    <w:p>
      <w:pPr>
        <w:pStyle w:val="Puce"/>
        <w:numPr>
          <w:ilvl w:val="1"/>
          <w:numId w:val="12"/>
        </w:numPr>
        <w:tabs>
          <w:tab w:val="clear" w:pos="1440"/>
          <w:tab w:val="num" w:pos="1329"/>
        </w:tabs>
        <w:spacing w:before="0"/>
        <w:ind w:left="1329"/>
        <w:jc w:val="both"/>
        <w:rPr>
          <w:rFonts w:ascii="Times New Roman" w:hAnsi="Times New Roman" w:cs="Times New Roman"/>
          <w:sz w:val="24"/>
        </w:rPr>
      </w:pPr>
      <w:r>
        <w:rPr>
          <w:rFonts w:ascii="Times New Roman" w:hAnsi="Times New Roman" w:cs="Times New Roman"/>
          <w:sz w:val="24"/>
        </w:rPr>
        <w:t>S – pour matérialiser une suppression logique, à savoir le fait de valoriser la date de fin de validité avec la même valeur que la date de début de validité renseignée au niveau de l'item afin de signifier l'obsolescence d'une valeur de nomenclature</w:t>
      </w:r>
    </w:p>
    <w:p>
      <w:pPr>
        <w:pStyle w:val="Puce"/>
        <w:numPr>
          <w:ilvl w:val="1"/>
          <w:numId w:val="12"/>
        </w:numPr>
        <w:tabs>
          <w:tab w:val="clear" w:pos="1440"/>
          <w:tab w:val="num" w:pos="1329"/>
        </w:tabs>
        <w:spacing w:before="0"/>
        <w:ind w:left="1329"/>
        <w:jc w:val="both"/>
        <w:rPr>
          <w:rFonts w:ascii="Times New Roman" w:hAnsi="Times New Roman" w:cs="Times New Roman"/>
          <w:sz w:val="24"/>
        </w:rPr>
      </w:pPr>
      <w:r>
        <w:rPr>
          <w:rFonts w:ascii="Times New Roman" w:hAnsi="Times New Roman" w:cs="Times New Roman"/>
          <w:sz w:val="24"/>
        </w:rPr>
        <w:t>X – pour indiquer que l’ensemble de l’item (et pas seulement une période de validité) a été supprimé logiquement. En conséquence, l’item devrait être supprimé physiquement dans l’application cible.</w:t>
      </w:r>
    </w:p>
    <w:p>
      <w:pPr>
        <w:pStyle w:val="Puce"/>
        <w:numPr>
          <w:ilvl w:val="0"/>
          <w:numId w:val="0"/>
        </w:numPr>
        <w:spacing w:before="0"/>
        <w:ind w:left="1329"/>
        <w:jc w:val="both"/>
        <w:rPr>
          <w:rFonts w:ascii="Times New Roman" w:hAnsi="Times New Roman" w:cs="Times New Roman"/>
          <w:sz w:val="24"/>
        </w:rPr>
      </w:pPr>
    </w:p>
    <w:p>
      <w:pPr>
        <w:pStyle w:val="Listepuces4"/>
        <w:numPr>
          <w:ilvl w:val="0"/>
          <w:numId w:val="0"/>
        </w:numPr>
        <w:ind w:left="1"/>
        <w:jc w:val="both"/>
        <w:rPr>
          <w:highlight w:val="cyan"/>
        </w:rPr>
      </w:pPr>
      <w:r>
        <w:t>Il est à noter que, si la mise à jour du contenu des nomenclatures peut être fréquente (les référentiels RCC notamment subissent de nombreuses évolutions réglementaires),  celle de leur structure – qui a un impact direct sur le format des fichiers diffusés et donc sur les différents SI clients – est beaucoup plus rare (environ une fois par an).</w:t>
      </w:r>
    </w:p>
    <w:p>
      <w:pPr>
        <w:pStyle w:val="Titre2"/>
      </w:pPr>
      <w:bookmarkStart w:id="23" w:name="_Structure_des_nomenclatures"/>
      <w:bookmarkStart w:id="24" w:name="_Toc20761125"/>
      <w:bookmarkEnd w:id="23"/>
      <w:r>
        <w:lastRenderedPageBreak/>
        <w:t>Structure des nomenclatures</w:t>
      </w:r>
      <w:bookmarkEnd w:id="24"/>
    </w:p>
    <w:p>
      <w:pPr>
        <w:pStyle w:val="Titre30"/>
      </w:pPr>
      <w:r>
        <w:t>Description</w:t>
      </w:r>
    </w:p>
    <w:p>
      <w:pPr>
        <w:pStyle w:val="ONPCorpsdetexte"/>
        <w:ind w:left="1"/>
        <w:jc w:val="both"/>
      </w:pPr>
      <w:r>
        <w:t>Les onglets « Référentiels » et « Référentiels fichier GEST » du Dictionnaire de données  listent les attributs constitutifs de la structure des différentes tables que sont les nomenclatures.</w:t>
      </w:r>
    </w:p>
    <w:p>
      <w:pPr>
        <w:pStyle w:val="ONPCorpsdetexte"/>
        <w:ind w:left="1"/>
        <w:jc w:val="both"/>
        <w:rPr>
          <w:rFonts w:ascii="Symbol" w:eastAsia="Symbol" w:hAnsi="Symbol" w:cs="Symbol"/>
          <w:szCs w:val="24"/>
        </w:rPr>
      </w:pPr>
      <w:r>
        <w:t xml:space="preserve">Chaque attribut de cette liste est défini par : </w:t>
      </w:r>
    </w:p>
    <w:p>
      <w:pPr>
        <w:pStyle w:val="ONPPoint1"/>
        <w:numPr>
          <w:ilvl w:val="0"/>
          <w:numId w:val="0"/>
        </w:numPr>
        <w:ind w:left="1"/>
        <w:jc w:val="both"/>
        <w:rPr>
          <w:rFonts w:ascii="Symbol" w:eastAsia="Symbol" w:hAnsi="Symbol" w:cs="Symbol"/>
          <w:szCs w:val="24"/>
        </w:rPr>
      </w:pPr>
      <w:r>
        <w:rPr>
          <w:rFonts w:ascii="Symbol" w:eastAsia="Symbol" w:hAnsi="Symbol" w:cs="Symbol"/>
          <w:szCs w:val="24"/>
        </w:rPr>
        <w:t></w:t>
      </w:r>
      <w:r>
        <w:rPr>
          <w:rFonts w:ascii="Symbol" w:eastAsia="Symbol" w:hAnsi="Symbol" w:cs="Symbol"/>
          <w:szCs w:val="24"/>
        </w:rPr>
        <w:tab/>
      </w:r>
      <w:r>
        <w:rPr>
          <w:rFonts w:cs="Times New Roman"/>
          <w:szCs w:val="24"/>
        </w:rPr>
        <w:t>Un code</w:t>
      </w:r>
    </w:p>
    <w:p>
      <w:pPr>
        <w:pStyle w:val="ONPPoint1"/>
        <w:numPr>
          <w:ilvl w:val="0"/>
          <w:numId w:val="0"/>
        </w:numPr>
        <w:ind w:left="1"/>
        <w:jc w:val="both"/>
        <w:rPr>
          <w:rFonts w:ascii="Symbol" w:eastAsia="Symbol" w:hAnsi="Symbol" w:cs="Symbol"/>
          <w:szCs w:val="24"/>
        </w:rPr>
      </w:pPr>
      <w:r>
        <w:rPr>
          <w:rFonts w:ascii="Symbol" w:eastAsia="Symbol" w:hAnsi="Symbol" w:cs="Symbol"/>
          <w:szCs w:val="24"/>
        </w:rPr>
        <w:t></w:t>
      </w:r>
      <w:r>
        <w:rPr>
          <w:rFonts w:ascii="Symbol" w:eastAsia="Symbol" w:hAnsi="Symbol" w:cs="Symbol"/>
          <w:szCs w:val="24"/>
        </w:rPr>
        <w:tab/>
      </w:r>
      <w:r>
        <w:rPr>
          <w:rFonts w:cs="Times New Roman"/>
          <w:szCs w:val="24"/>
        </w:rPr>
        <w:t>Un libellé</w:t>
      </w:r>
    </w:p>
    <w:p>
      <w:pPr>
        <w:pStyle w:val="ONPPoint1"/>
        <w:numPr>
          <w:ilvl w:val="0"/>
          <w:numId w:val="0"/>
        </w:numPr>
        <w:ind w:left="285" w:hanging="284"/>
        <w:jc w:val="both"/>
        <w:rPr>
          <w:rFonts w:ascii="Symbol" w:eastAsia="Symbol" w:hAnsi="Symbol" w:cs="Symbol"/>
          <w:szCs w:val="24"/>
        </w:rPr>
      </w:pPr>
      <w:r>
        <w:rPr>
          <w:rFonts w:ascii="Symbol" w:eastAsia="Symbol" w:hAnsi="Symbol" w:cs="Symbol"/>
          <w:szCs w:val="24"/>
        </w:rPr>
        <w:t></w:t>
      </w:r>
      <w:r>
        <w:rPr>
          <w:rFonts w:ascii="Symbol" w:eastAsia="Symbol" w:hAnsi="Symbol" w:cs="Symbol"/>
          <w:szCs w:val="24"/>
        </w:rPr>
        <w:tab/>
      </w:r>
      <w:r>
        <w:rPr>
          <w:rFonts w:cs="Times New Roman"/>
          <w:szCs w:val="24"/>
        </w:rPr>
        <w:t>Un type de format (date, alpha-numérique, etc.) ou un lien vers la clé primaire de la nomenclature liée. Un attribut typé comme portant un lien constitue une clé étrangère</w:t>
      </w:r>
      <w:r>
        <w:rPr>
          <w:rStyle w:val="Appelnotedebasdep"/>
          <w:rFonts w:cs="Times New Roman"/>
          <w:szCs w:val="24"/>
        </w:rPr>
        <w:footnoteReference w:id="1"/>
      </w:r>
      <w:r>
        <w:rPr>
          <w:rFonts w:cs="Times New Roman"/>
          <w:szCs w:val="24"/>
        </w:rPr>
        <w:t xml:space="preserve">. </w:t>
      </w:r>
    </w:p>
    <w:p>
      <w:pPr>
        <w:pStyle w:val="ONPPoint1"/>
        <w:numPr>
          <w:ilvl w:val="0"/>
          <w:numId w:val="0"/>
        </w:numPr>
        <w:ind w:left="1"/>
        <w:jc w:val="both"/>
        <w:rPr>
          <w:rFonts w:ascii="Arial" w:eastAsia="Arial" w:hAnsi="Arial"/>
          <w:sz w:val="22"/>
          <w:szCs w:val="22"/>
        </w:rPr>
      </w:pPr>
      <w:r>
        <w:rPr>
          <w:rFonts w:ascii="Symbol" w:eastAsia="Symbol" w:hAnsi="Symbol" w:cs="Symbol"/>
          <w:szCs w:val="24"/>
        </w:rPr>
        <w:t></w:t>
      </w:r>
      <w:r>
        <w:rPr>
          <w:rFonts w:ascii="Symbol" w:eastAsia="Symbol" w:hAnsi="Symbol" w:cs="Symbol"/>
          <w:szCs w:val="24"/>
        </w:rPr>
        <w:tab/>
      </w:r>
      <w:r>
        <w:rPr>
          <w:rFonts w:cs="Times New Roman"/>
          <w:szCs w:val="24"/>
        </w:rPr>
        <w:t xml:space="preserve">Une nature d'attribut qui peut être : </w:t>
      </w:r>
    </w:p>
    <w:p>
      <w:pPr>
        <w:pStyle w:val="ONPPoint2"/>
        <w:ind w:left="598"/>
        <w:jc w:val="both"/>
        <w:rPr>
          <w:rFonts w:eastAsia="Arial" w:cs="Times New Roman"/>
          <w:szCs w:val="24"/>
        </w:rPr>
      </w:pPr>
      <w:r>
        <w:rPr>
          <w:rFonts w:ascii="Arial" w:eastAsia="Arial" w:hAnsi="Arial" w:cs="Arial"/>
          <w:sz w:val="22"/>
          <w:szCs w:val="22"/>
        </w:rPr>
        <w:t>1-</w:t>
      </w:r>
      <w:r>
        <w:rPr>
          <w:rFonts w:ascii="Arial" w:eastAsia="Arial" w:hAnsi="Arial" w:cs="Arial"/>
          <w:sz w:val="22"/>
          <w:szCs w:val="22"/>
        </w:rPr>
        <w:tab/>
      </w:r>
      <w:r>
        <w:rPr>
          <w:rFonts w:eastAsia="Arial" w:cs="Times New Roman"/>
          <w:b/>
          <w:bCs/>
          <w:szCs w:val="24"/>
        </w:rPr>
        <w:t>Unique</w:t>
      </w:r>
      <w:r>
        <w:rPr>
          <w:rFonts w:eastAsia="Arial" w:cs="Times New Roman"/>
          <w:szCs w:val="24"/>
        </w:rPr>
        <w:t xml:space="preserve"> : indique que l’attribut est renseigné par une valeur unique et que les modifications apportées à cette valeur ne sont pas historisées (typiquement sont définis comme uniques tous les attributs de type libellé et description) ;</w:t>
      </w:r>
    </w:p>
    <w:p>
      <w:pPr>
        <w:pStyle w:val="ONPPoint2"/>
        <w:ind w:left="598"/>
        <w:jc w:val="both"/>
        <w:rPr>
          <w:rFonts w:eastAsia="Arial" w:cs="Times New Roman"/>
          <w:szCs w:val="24"/>
        </w:rPr>
      </w:pPr>
      <w:r>
        <w:rPr>
          <w:rFonts w:eastAsia="Arial" w:cs="Times New Roman"/>
          <w:szCs w:val="24"/>
        </w:rPr>
        <w:t>2-</w:t>
      </w:r>
      <w:r>
        <w:rPr>
          <w:rFonts w:eastAsia="Arial" w:cs="Times New Roman"/>
          <w:szCs w:val="24"/>
        </w:rPr>
        <w:tab/>
      </w:r>
      <w:r>
        <w:rPr>
          <w:rFonts w:eastAsia="Arial" w:cs="Times New Roman"/>
          <w:b/>
          <w:bCs/>
          <w:szCs w:val="24"/>
        </w:rPr>
        <w:t>Historique</w:t>
      </w:r>
      <w:r>
        <w:rPr>
          <w:rFonts w:eastAsia="Arial" w:cs="Times New Roman"/>
          <w:szCs w:val="24"/>
        </w:rPr>
        <w:t xml:space="preserve"> : indique que l’attribut est valorisé par une valeur unique et que chacune des modifications apportées à cette valeur est historisée ;</w:t>
      </w:r>
    </w:p>
    <w:p>
      <w:pPr>
        <w:pStyle w:val="ONPPoint2"/>
        <w:ind w:left="598"/>
        <w:jc w:val="both"/>
        <w:rPr>
          <w:rFonts w:cs="Times New Roman"/>
          <w:szCs w:val="24"/>
        </w:rPr>
      </w:pPr>
      <w:r>
        <w:rPr>
          <w:rFonts w:eastAsia="Arial" w:cs="Times New Roman"/>
          <w:szCs w:val="24"/>
        </w:rPr>
        <w:t>3-</w:t>
      </w:r>
      <w:r>
        <w:rPr>
          <w:rFonts w:eastAsia="Arial" w:cs="Times New Roman"/>
          <w:szCs w:val="24"/>
        </w:rPr>
        <w:tab/>
      </w:r>
      <w:r>
        <w:rPr>
          <w:rFonts w:eastAsia="Arial" w:cs="Times New Roman"/>
          <w:b/>
          <w:bCs/>
          <w:szCs w:val="24"/>
        </w:rPr>
        <w:t>Multiple</w:t>
      </w:r>
      <w:r>
        <w:rPr>
          <w:rFonts w:eastAsia="Arial" w:cs="Times New Roman"/>
          <w:szCs w:val="24"/>
        </w:rPr>
        <w:t xml:space="preserve"> : indique que l’attribut peut être valorisé par 0 à N valeurs et que les modifications apportées à ces valeurs ne sont pas historisées ;</w:t>
      </w:r>
    </w:p>
    <w:p>
      <w:pPr>
        <w:pStyle w:val="ONPPoint2"/>
        <w:ind w:left="598"/>
        <w:jc w:val="both"/>
        <w:rPr>
          <w:rFonts w:eastAsia="Symbol" w:cs="Times New Roman"/>
          <w:szCs w:val="24"/>
        </w:rPr>
      </w:pPr>
      <w:r>
        <w:rPr>
          <w:rFonts w:cs="Times New Roman"/>
          <w:szCs w:val="24"/>
        </w:rPr>
        <w:t>4-</w:t>
      </w:r>
      <w:r>
        <w:rPr>
          <w:rFonts w:cs="Times New Roman"/>
          <w:szCs w:val="24"/>
        </w:rPr>
        <w:tab/>
      </w:r>
      <w:r>
        <w:rPr>
          <w:rFonts w:cs="Times New Roman"/>
          <w:b/>
          <w:bCs/>
          <w:szCs w:val="24"/>
        </w:rPr>
        <w:t>Multiple historique</w:t>
      </w:r>
      <w:r>
        <w:rPr>
          <w:rFonts w:cs="Times New Roman"/>
          <w:szCs w:val="24"/>
        </w:rPr>
        <w:t xml:space="preserve"> : indique que l’attribut peut être valorisé par 0 à N valeurs et que chacune des modifications portées sur ces valeurs est historisée.</w:t>
      </w:r>
    </w:p>
    <w:p>
      <w:pPr>
        <w:pStyle w:val="ONPPoint1"/>
        <w:numPr>
          <w:ilvl w:val="0"/>
          <w:numId w:val="0"/>
        </w:numPr>
        <w:ind w:left="1"/>
        <w:jc w:val="both"/>
        <w:rPr>
          <w:rFonts w:cs="Times New Roman"/>
          <w:szCs w:val="24"/>
        </w:rPr>
      </w:pPr>
      <w:r>
        <w:rPr>
          <w:rFonts w:ascii="Symbol" w:eastAsia="Symbol" w:hAnsi="Symbol" w:cs="Symbol"/>
          <w:szCs w:val="24"/>
        </w:rPr>
        <w:t></w:t>
      </w:r>
      <w:r>
        <w:rPr>
          <w:rFonts w:ascii="Symbol" w:eastAsia="Symbol" w:hAnsi="Symbol" w:cs="Symbol"/>
          <w:szCs w:val="24"/>
        </w:rPr>
        <w:tab/>
      </w:r>
      <w:r>
        <w:rPr>
          <w:rFonts w:cs="Times New Roman"/>
          <w:szCs w:val="24"/>
        </w:rPr>
        <w:t>Un booléen indiquant s’il est constitutif de la clé</w:t>
      </w:r>
      <w:r>
        <w:rPr>
          <w:rStyle w:val="Appelnotedebasdep"/>
          <w:rFonts w:cs="Times New Roman"/>
          <w:szCs w:val="24"/>
        </w:rPr>
        <w:footnoteReference w:id="2"/>
      </w:r>
      <w:r>
        <w:rPr>
          <w:rFonts w:cs="Times New Roman"/>
          <w:szCs w:val="24"/>
        </w:rPr>
        <w:t xml:space="preserve"> associée au format de chaque nomenclature. </w:t>
      </w:r>
    </w:p>
    <w:p>
      <w:pPr>
        <w:pStyle w:val="ONPPoint1"/>
        <w:numPr>
          <w:ilvl w:val="0"/>
          <w:numId w:val="0"/>
        </w:numPr>
        <w:tabs>
          <w:tab w:val="left" w:pos="426"/>
        </w:tabs>
        <w:ind w:left="1" w:hanging="142"/>
        <w:jc w:val="both"/>
        <w:rPr>
          <w:rFonts w:ascii="Symbol" w:eastAsia="Symbol" w:hAnsi="Symbol" w:cs="Symbol"/>
          <w:szCs w:val="24"/>
        </w:rPr>
      </w:pPr>
      <w:r>
        <w:rPr>
          <w:rFonts w:cs="Times New Roman"/>
          <w:szCs w:val="24"/>
        </w:rPr>
        <w:tab/>
      </w:r>
      <w:r>
        <w:rPr>
          <w:rFonts w:ascii="Symbol" w:eastAsia="Symbol" w:hAnsi="Symbol" w:cs="Symbol"/>
          <w:szCs w:val="24"/>
        </w:rPr>
        <w:t></w:t>
      </w:r>
      <w:r>
        <w:rPr>
          <w:rFonts w:ascii="Symbol" w:eastAsia="Symbol" w:hAnsi="Symbol" w:cs="Symbol"/>
          <w:szCs w:val="24"/>
        </w:rPr>
        <w:tab/>
      </w:r>
      <w:r>
        <w:rPr>
          <w:rFonts w:cs="Times New Roman"/>
          <w:szCs w:val="24"/>
        </w:rPr>
        <w:t>À partir de la version 00.05.00 du Noyau RH FPE, le caractère obligatoire ou conditionnel de l'attribut est également précisé.</w:t>
      </w:r>
    </w:p>
    <w:p>
      <w:pPr>
        <w:pStyle w:val="ONPCorpsdetexte"/>
        <w:ind w:left="1"/>
        <w:rPr>
          <w:rFonts w:cs="Times New Roman"/>
          <w:szCs w:val="24"/>
        </w:rPr>
      </w:pPr>
      <w:r>
        <w:rPr>
          <w:rFonts w:ascii="Symbol" w:eastAsia="Symbol" w:hAnsi="Symbol" w:cs="Symbol"/>
          <w:szCs w:val="24"/>
        </w:rPr>
        <w:t></w:t>
      </w:r>
      <w:r>
        <w:rPr>
          <w:rFonts w:ascii="Symbol" w:eastAsia="Symbol" w:hAnsi="Symbol" w:cs="Symbol"/>
          <w:szCs w:val="24"/>
        </w:rPr>
        <w:t></w:t>
      </w:r>
      <w:r>
        <w:rPr>
          <w:rFonts w:ascii="Symbol" w:eastAsia="Symbol" w:hAnsi="Symbol" w:cs="Symbol"/>
          <w:szCs w:val="24"/>
        </w:rPr>
        <w:t></w:t>
      </w:r>
      <w:r>
        <w:rPr>
          <w:rFonts w:ascii="Symbol" w:eastAsia="Symbol" w:hAnsi="Symbol" w:cs="Symbol"/>
          <w:szCs w:val="24"/>
        </w:rPr>
        <w:t></w:t>
      </w:r>
      <w:r>
        <w:rPr>
          <w:rFonts w:cs="Times New Roman"/>
          <w:szCs w:val="24"/>
        </w:rPr>
        <w:t>Un commentaire.</w:t>
      </w:r>
    </w:p>
    <w:p>
      <w:pPr>
        <w:pStyle w:val="ONPCorpsdetexte"/>
        <w:ind w:left="1"/>
      </w:pPr>
    </w:p>
    <w:p>
      <w:pPr>
        <w:pStyle w:val="ONPCorpsdetexte"/>
        <w:ind w:left="1"/>
        <w:jc w:val="both"/>
      </w:pPr>
      <w:r>
        <w:lastRenderedPageBreak/>
        <w:t>Le Dictionnaire de données décrit plus de 300 nomenclatures et une centaine de structures distinctes dont certaines sont spécifiques à une nomenclature tandis que d’autres partagées par plusieurs.</w:t>
      </w:r>
    </w:p>
    <w:p>
      <w:pPr>
        <w:pStyle w:val="Titre30"/>
      </w:pPr>
      <w:r>
        <w:t>Catégorisation des structures associées aux nomenclatures</w:t>
      </w:r>
    </w:p>
    <w:p>
      <w:pPr>
        <w:pStyle w:val="Titre4"/>
      </w:pPr>
      <w:r>
        <w:t>Structures communes à plusieurs nomenclatures</w:t>
      </w:r>
    </w:p>
    <w:p>
      <w:pPr>
        <w:ind w:left="1"/>
        <w:jc w:val="both"/>
      </w:pPr>
      <w:r>
        <w:t>De nombreuses nomenclatures présentent des structures communes dont les spécificités sont décrites ci-dessous.</w:t>
      </w:r>
    </w:p>
    <w:p>
      <w:pPr>
        <w:pStyle w:val="Titre5"/>
        <w:jc w:val="both"/>
      </w:pPr>
      <w:r>
        <w:t>Les structures génériques</w:t>
      </w:r>
    </w:p>
    <w:p>
      <w:pPr>
        <w:pStyle w:val="ONPPoint1"/>
        <w:numPr>
          <w:ilvl w:val="0"/>
          <w:numId w:val="0"/>
        </w:numPr>
        <w:tabs>
          <w:tab w:val="clear" w:pos="284"/>
          <w:tab w:val="left" w:pos="0"/>
        </w:tabs>
        <w:ind w:left="1"/>
        <w:jc w:val="both"/>
      </w:pPr>
      <w:r>
        <w:t>Il s’agit des structures décrites dans le Noyau sous le vocable « Format générique de table simple ». Egalement nommées « Mono-structure » dans la suite du document, elles sont constituées des attributs ci-dessous :</w:t>
      </w:r>
    </w:p>
    <w:p>
      <w:pPr>
        <w:pStyle w:val="ONPPoint1"/>
        <w:tabs>
          <w:tab w:val="clear" w:pos="0"/>
          <w:tab w:val="num" w:pos="-111"/>
        </w:tabs>
        <w:ind w:left="249"/>
        <w:jc w:val="both"/>
      </w:pPr>
      <w:r>
        <w:t>Un code d’identifiant,</w:t>
      </w:r>
    </w:p>
    <w:p>
      <w:pPr>
        <w:pStyle w:val="ONPPoint1"/>
        <w:tabs>
          <w:tab w:val="clear" w:pos="0"/>
          <w:tab w:val="num" w:pos="-111"/>
        </w:tabs>
        <w:ind w:left="249"/>
        <w:jc w:val="both"/>
      </w:pPr>
      <w:r>
        <w:t>Un libellé abrégé</w:t>
      </w:r>
    </w:p>
    <w:p>
      <w:pPr>
        <w:pStyle w:val="ONPPoint1"/>
        <w:tabs>
          <w:tab w:val="clear" w:pos="0"/>
          <w:tab w:val="num" w:pos="-111"/>
        </w:tabs>
        <w:ind w:left="249"/>
        <w:jc w:val="both"/>
      </w:pPr>
      <w:r>
        <w:t xml:space="preserve">Un libellé court et un libellé long, </w:t>
      </w:r>
    </w:p>
    <w:p>
      <w:pPr>
        <w:pStyle w:val="ONPPoint1"/>
        <w:tabs>
          <w:tab w:val="clear" w:pos="0"/>
          <w:tab w:val="num" w:pos="-111"/>
        </w:tabs>
        <w:ind w:left="249"/>
        <w:jc w:val="both"/>
      </w:pPr>
      <w:r>
        <w:t>Une date de début et une date de fin de validité.</w:t>
      </w:r>
    </w:p>
    <w:p>
      <w:pPr>
        <w:ind w:left="1"/>
        <w:jc w:val="both"/>
      </w:pPr>
      <w:r>
        <w:t xml:space="preserve">Le Dictionnaire de données précise la taille des différents attributs et indique que « l'identifiant est de 1 à 6 caractères maximum. ». </w:t>
      </w:r>
    </w:p>
    <w:p>
      <w:pPr>
        <w:ind w:left="1"/>
        <w:jc w:val="both"/>
      </w:pPr>
      <w:r>
        <w:t>La taille de l'identifiant variant de 1 à 6, il existe 6 formats génériques de tables,  identifiés par un code R_FOR_GENERIQxx variant avec la taille de l'identifiant. Ainsi, pour un identifiant défini sur 1 caractère, le format associé est FOR_GENERIQ01.</w:t>
      </w:r>
    </w:p>
    <w:p>
      <w:pPr>
        <w:pStyle w:val="ONPCorpsdetexte"/>
        <w:tabs>
          <w:tab w:val="left" w:pos="0"/>
          <w:tab w:val="left" w:pos="142"/>
        </w:tabs>
        <w:ind w:left="1"/>
        <w:jc w:val="both"/>
        <w:rPr>
          <w:u w:val="single"/>
        </w:rPr>
      </w:pPr>
      <w:r>
        <w:rPr>
          <w:b/>
        </w:rPr>
        <w:t>Exemple</w:t>
      </w:r>
      <w:r>
        <w:t> : la nomenclature « CHEVRON » est associée à la structure R_FOR_GENERIQ01.</w:t>
      </w:r>
    </w:p>
    <w:p>
      <w:pPr>
        <w:ind w:left="1"/>
        <w:jc w:val="both"/>
      </w:pPr>
    </w:p>
    <w:p>
      <w:pPr>
        <w:pStyle w:val="Titre5"/>
        <w:jc w:val="both"/>
      </w:pPr>
      <w:r>
        <w:t>Les structures génériques booléen</w:t>
      </w:r>
    </w:p>
    <w:p>
      <w:pPr>
        <w:ind w:left="1"/>
        <w:jc w:val="both"/>
      </w:pPr>
      <w:r>
        <w:t>Ces structures correspondent au «Formats génériques de table simple avec indicateur de saisissabilité n°1 à 6» créées dans la version V00.05.10 du Noyau RH FPE. Elles sont également retrouvées dans la suite du document sous le vocable « Mono-structure booléen ».</w:t>
      </w:r>
    </w:p>
    <w:p>
      <w:pPr>
        <w:ind w:left="1"/>
        <w:jc w:val="both"/>
      </w:pPr>
      <w:r>
        <w:t>La structure de ces nomenclatures est celle des structures  dites « génériques » enrichie d’un attribut booléen  nommé « Indicateur de saisissabilité ».</w:t>
      </w:r>
    </w:p>
    <w:p>
      <w:pPr>
        <w:ind w:left="1"/>
        <w:jc w:val="both"/>
      </w:pPr>
      <w:r>
        <w:t xml:space="preserve">Le Dictionnaire de données précise la taille des différents attributs et indique que  « l'identifiant est de 1 à 6 caractères maximum. » </w:t>
      </w:r>
    </w:p>
    <w:p>
      <w:pPr>
        <w:ind w:left="1"/>
        <w:jc w:val="both"/>
      </w:pPr>
      <w:r>
        <w:t>La taille de l'identifiant variant de 1 à 6, il existe théoriquement 6 formats génériques booléens,  identifiés par un code R_FOR_ R_FOR_GEN_BOOxx variant avec la taille de l'identifiant. Dans la version V00.05.10 du Noyau RH FPE, version dans laquelle ce nouveau type de structure a été décrit, seules les structures R_FOR_R_FOR_GEN_BOO01 et R_FOR_ R_FOR_GEN_BOO02 sont effectivement utilisées.</w:t>
      </w:r>
    </w:p>
    <w:p>
      <w:pPr>
        <w:pStyle w:val="ONPCorpsdetexte"/>
        <w:tabs>
          <w:tab w:val="left" w:pos="0"/>
          <w:tab w:val="left" w:pos="142"/>
        </w:tabs>
        <w:ind w:left="1"/>
        <w:jc w:val="both"/>
        <w:rPr>
          <w:u w:val="single"/>
        </w:rPr>
      </w:pPr>
      <w:r>
        <w:rPr>
          <w:b/>
        </w:rPr>
        <w:lastRenderedPageBreak/>
        <w:t>Exemple</w:t>
      </w:r>
      <w:r>
        <w:t> : la nomenclature « BG_DROIT_SFT  » est associée à la structure R_FOR_GEN_BOO01.</w:t>
      </w:r>
    </w:p>
    <w:p>
      <w:pPr>
        <w:ind w:left="1"/>
        <w:rPr>
          <w:b/>
          <w:u w:val="single"/>
        </w:rPr>
      </w:pPr>
      <w:r>
        <w:rPr>
          <w:b/>
          <w:u w:val="single"/>
        </w:rPr>
        <w:t xml:space="preserve">Point d’attention : </w:t>
      </w:r>
    </w:p>
    <w:p>
      <w:pPr>
        <w:ind w:left="1"/>
        <w:jc w:val="both"/>
      </w:pPr>
      <w:r>
        <w:t>Afin d’assurer la compatibilité ascendante de la diffusion, l’attribut R_FOR_SAISIS apparaissant dans la V00.05.10 du Noyau RH FPE entre les attributs R_FOR_LIBLON et R_FOR_DATDEB des formats de nomenclature « Mono-structure booléen » est déplacé en dernière position. Il est ainsi permis à des nomenclatures décrites à tort dans les versions précédentes du Noyau comme génériques de voir leur format enrichi d’un indicateur de saisissabilité (ex : BG_ID_PEC_TIT, BG_MOD_CALCUL et BG_CODE_ENF dans la V16.00.00 du DDD).</w:t>
      </w:r>
    </w:p>
    <w:p>
      <w:pPr>
        <w:jc w:val="both"/>
      </w:pPr>
      <w:r>
        <w:t>Cette évolution implique la modification des formats de diffusion des fichiers XML associés aux nomenclatures « Mono-structure booléen » déjà existantes dans la V00.05.10 du Noyau RH FPE.</w:t>
      </w:r>
    </w:p>
    <w:p>
      <w:pPr>
        <w:jc w:val="both"/>
        <w:rPr>
          <w:u w:val="single"/>
        </w:rPr>
      </w:pPr>
      <w:r>
        <w:rPr>
          <w:u w:val="single"/>
        </w:rPr>
        <w:t>Liste des nomenclatures impactées :</w:t>
      </w:r>
    </w:p>
    <w:p>
      <w:pPr>
        <w:pStyle w:val="Paragraphedeliste"/>
        <w:numPr>
          <w:ilvl w:val="0"/>
          <w:numId w:val="223"/>
        </w:numPr>
        <w:jc w:val="both"/>
      </w:pPr>
      <w:r>
        <w:t>BG_DROIT_SFT - Droit à supplément familial de traitement</w:t>
      </w:r>
    </w:p>
    <w:p>
      <w:pPr>
        <w:pStyle w:val="Paragraphedeliste"/>
        <w:numPr>
          <w:ilvl w:val="0"/>
          <w:numId w:val="223"/>
        </w:numPr>
        <w:jc w:val="both"/>
      </w:pPr>
      <w:r>
        <w:t>BG_MOD_PAI - Mode de paiement</w:t>
      </w:r>
    </w:p>
    <w:p>
      <w:pPr>
        <w:pStyle w:val="Paragraphedeliste"/>
        <w:numPr>
          <w:ilvl w:val="0"/>
          <w:numId w:val="223"/>
        </w:numPr>
        <w:jc w:val="both"/>
      </w:pPr>
      <w:r>
        <w:t>BG_DROIT_PF - Indicateur droit prestation familiale</w:t>
      </w:r>
    </w:p>
    <w:p>
      <w:pPr>
        <w:pStyle w:val="Paragraphedeliste"/>
        <w:numPr>
          <w:ilvl w:val="0"/>
          <w:numId w:val="223"/>
        </w:numPr>
        <w:jc w:val="both"/>
      </w:pPr>
      <w:r>
        <w:t>BG_CODE_PF - Code prestation familiale</w:t>
      </w:r>
    </w:p>
    <w:p>
      <w:pPr>
        <w:pStyle w:val="Paragraphedeliste"/>
        <w:numPr>
          <w:ilvl w:val="0"/>
          <w:numId w:val="223"/>
        </w:numPr>
        <w:jc w:val="both"/>
      </w:pPr>
      <w:r>
        <w:t>BG_ETAT_DROIT - Code état du droit de la prestation</w:t>
      </w:r>
    </w:p>
    <w:p>
      <w:pPr>
        <w:ind w:left="360"/>
        <w:jc w:val="both"/>
      </w:pPr>
    </w:p>
    <w:p>
      <w:pPr>
        <w:jc w:val="both"/>
        <w:rPr>
          <w:u w:val="single"/>
        </w:rPr>
      </w:pPr>
      <w:r>
        <w:rPr>
          <w:u w:val="single"/>
        </w:rPr>
        <w:t xml:space="preserve">Illustration : </w:t>
      </w:r>
    </w:p>
    <w:p>
      <w:pPr>
        <w:jc w:val="both"/>
      </w:pPr>
      <w:r>
        <w:t>Extrait du fichier de diffusion au format XML 00.05.10 tel que produit dans la V2.1 de INGRES pour le code 51 la nomenclature BG_CODE_PF</w:t>
      </w:r>
    </w:p>
    <w:p>
      <w:pPr>
        <w:spacing w:before="0" w:after="0"/>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&lt;R_FOR_GEN_BOO02&gt;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&lt;VERSION_SIT_NOM&gt;01.00.00&lt;/VERSION_SIT_NOM&gt;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 &lt;TYPE_MAJ&gt;M&lt;/TYPE_MAJ&gt;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 &lt;R_FOR_IDEN02&gt;51&lt;/R_FOR_IDEN02&gt;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&lt;R_FOR_LIBABR&gt;xxxxxxx18cxxxxxxxx&lt;/R_FOR_LIBABR&gt; </w:t>
      </w:r>
    </w:p>
    <w:p>
      <w:pPr>
        <w:spacing w:before="0" w:after="0"/>
        <w:ind w:left="1418" w:hanging="709"/>
        <w:rPr>
          <w:rFonts w:asciiTheme="minorHAnsi" w:hAnsiTheme="minorHAnsi" w:cstheme="minorHAnsi"/>
          <w:b/>
          <w:color w:val="3333FF"/>
          <w:sz w:val="18"/>
          <w:szCs w:val="18"/>
        </w:rPr>
      </w:pPr>
      <w:r>
        <w:rPr>
          <w:rFonts w:asciiTheme="minorHAnsi" w:hAnsiTheme="minorHAnsi" w:cstheme="minorHAnsi"/>
          <w:b/>
          <w:color w:val="3333FF"/>
          <w:sz w:val="18"/>
          <w:szCs w:val="18"/>
        </w:rPr>
        <w:t>&lt;R_FOR_LIBCOU&gt;</w:t>
      </w:r>
      <w:r>
        <w:rPr>
          <w:rFonts w:asciiTheme="minorHAnsi" w:hAnsiTheme="minorHAnsi" w:cstheme="minorHAnsi"/>
          <w:b/>
          <w:color w:val="FF0000"/>
          <w:sz w:val="18"/>
          <w:szCs w:val="18"/>
        </w:rPr>
        <w:t>A.F. majoration plus de 11 ans</w:t>
      </w:r>
      <w:r>
        <w:rPr>
          <w:rFonts w:asciiTheme="minorHAnsi" w:hAnsiTheme="minorHAnsi" w:cstheme="minorHAnsi"/>
          <w:b/>
          <w:color w:val="3333FF"/>
          <w:sz w:val="18"/>
          <w:szCs w:val="18"/>
        </w:rPr>
        <w:t xml:space="preserve">&lt;/R_FOR_LIBCOU&gt; </w:t>
      </w:r>
    </w:p>
    <w:p>
      <w:pPr>
        <w:spacing w:before="0" w:after="0"/>
        <w:ind w:left="1418" w:hanging="709"/>
        <w:rPr>
          <w:rFonts w:asciiTheme="minorHAnsi" w:hAnsiTheme="minorHAnsi" w:cstheme="minorHAnsi"/>
          <w:b/>
          <w:color w:val="3333FF"/>
          <w:sz w:val="18"/>
          <w:szCs w:val="18"/>
        </w:rPr>
      </w:pPr>
      <w:r>
        <w:rPr>
          <w:rFonts w:asciiTheme="minorHAnsi" w:hAnsiTheme="minorHAnsi" w:cstheme="minorHAnsi"/>
          <w:b/>
          <w:color w:val="3333FF"/>
          <w:sz w:val="18"/>
          <w:szCs w:val="18"/>
        </w:rPr>
        <w:t>&lt;R_FOR_LIBLON&gt;</w:t>
      </w:r>
      <w:r>
        <w:rPr>
          <w:rFonts w:asciiTheme="minorHAnsi" w:hAnsiTheme="minorHAnsi" w:cstheme="minorHAnsi"/>
          <w:b/>
          <w:color w:val="FF0000"/>
          <w:sz w:val="18"/>
          <w:szCs w:val="18"/>
        </w:rPr>
        <w:t>Allocations familiales majoration plus de 11 ans (enfants de plus de 11 ans nés avant le 30 avril 1997)</w:t>
      </w:r>
      <w:r>
        <w:rPr>
          <w:rFonts w:asciiTheme="minorHAnsi" w:hAnsiTheme="minorHAnsi" w:cstheme="minorHAnsi"/>
          <w:b/>
          <w:color w:val="3333FF"/>
          <w:sz w:val="18"/>
          <w:szCs w:val="18"/>
        </w:rPr>
        <w:t>&lt;/R_FOR_LIBLON&gt;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highlight w:val="yellow"/>
          <w:lang w:val="en-US"/>
        </w:rPr>
        <w:t>&lt;R_FOR_SAISIS&gt;</w:t>
      </w:r>
      <w:r>
        <w:rPr>
          <w:rFonts w:asciiTheme="minorHAnsi" w:hAnsiTheme="minorHAnsi" w:cstheme="minorHAnsi"/>
          <w:b/>
          <w:color w:val="FF0000"/>
          <w:sz w:val="18"/>
          <w:szCs w:val="18"/>
          <w:highlight w:val="yellow"/>
          <w:lang w:val="en-US"/>
        </w:rPr>
        <w:t>1</w:t>
      </w:r>
      <w:r>
        <w:rPr>
          <w:rFonts w:asciiTheme="minorHAnsi" w:hAnsiTheme="minorHAnsi" w:cstheme="minorHAnsi"/>
          <w:b/>
          <w:color w:val="3333FF"/>
          <w:sz w:val="18"/>
          <w:szCs w:val="18"/>
          <w:highlight w:val="yellow"/>
          <w:lang w:val="en-US"/>
        </w:rPr>
        <w:t>&lt;/R_FOR_SAISIS&gt;</w:t>
      </w:r>
      <w:r>
        <w:rPr>
          <w:rFonts w:asciiTheme="minorHAnsi" w:hAnsiTheme="minorHAnsi" w:cstheme="minorHAnsi"/>
          <w:b/>
          <w:color w:val="3333FF"/>
          <w:sz w:val="18"/>
          <w:szCs w:val="18"/>
          <w:lang w:val="en-US"/>
        </w:rPr>
        <w:t xml:space="preserve">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&lt;R_FOR_DATDEB&gt;</w:t>
      </w:r>
      <w:r>
        <w:rPr>
          <w:rFonts w:asciiTheme="minorHAnsi" w:hAnsiTheme="minorHAnsi" w:cstheme="minorHAnsi"/>
          <w:b/>
          <w:color w:val="FF0000"/>
          <w:sz w:val="18"/>
          <w:szCs w:val="18"/>
          <w:lang w:val="en-US"/>
        </w:rPr>
        <w:t>1900-01-01</w:t>
      </w:r>
      <w:r>
        <w:rPr>
          <w:rFonts w:asciiTheme="minorHAnsi" w:hAnsiTheme="minorHAnsi" w:cstheme="minorHAnsi"/>
          <w:b/>
          <w:color w:val="3333FF"/>
          <w:sz w:val="18"/>
          <w:szCs w:val="18"/>
          <w:lang w:val="en-US"/>
        </w:rPr>
        <w:t xml:space="preserve">&lt;/R_FOR_DATDEB&gt;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&lt;R_FOR_DATFIN&gt;</w:t>
      </w:r>
      <w:r>
        <w:rPr>
          <w:rFonts w:asciiTheme="minorHAnsi" w:hAnsiTheme="minorHAnsi" w:cstheme="minorHAnsi"/>
          <w:b/>
          <w:color w:val="FF0000"/>
          <w:sz w:val="18"/>
          <w:szCs w:val="18"/>
          <w:lang w:val="en-US"/>
        </w:rPr>
        <w:t>2013-04-30</w:t>
      </w:r>
      <w:r>
        <w:rPr>
          <w:rFonts w:asciiTheme="minorHAnsi" w:hAnsiTheme="minorHAnsi" w:cstheme="minorHAnsi"/>
          <w:b/>
          <w:color w:val="3333FF"/>
          <w:sz w:val="18"/>
          <w:szCs w:val="18"/>
          <w:lang w:val="en-US"/>
        </w:rPr>
        <w:t xml:space="preserve">&lt;/R_FOR_DATFIN&gt; </w:t>
      </w:r>
    </w:p>
    <w:p>
      <w:pPr>
        <w:spacing w:before="0" w:after="0"/>
        <w:rPr>
          <w:rFonts w:asciiTheme="minorHAnsi" w:hAnsiTheme="minorHAnsi" w:cstheme="minorHAnsi"/>
          <w:b/>
          <w:color w:val="3333FF"/>
          <w:sz w:val="18"/>
          <w:szCs w:val="18"/>
          <w:lang w:val="es-ES"/>
        </w:rPr>
      </w:pPr>
      <w:r>
        <w:rPr>
          <w:rFonts w:asciiTheme="minorHAnsi" w:hAnsiTheme="minorHAnsi" w:cstheme="minorHAnsi"/>
          <w:b/>
          <w:color w:val="3333FF"/>
          <w:sz w:val="18"/>
          <w:szCs w:val="18"/>
          <w:lang w:val="es-ES"/>
        </w:rPr>
        <w:t>&lt;/R_FOR_GEN_BOO02&gt;</w:t>
      </w:r>
    </w:p>
    <w:p>
      <w:pPr>
        <w:spacing w:before="0" w:after="0"/>
        <w:rPr>
          <w:rFonts w:asciiTheme="minorHAnsi" w:hAnsiTheme="minorHAnsi" w:cstheme="minorHAnsi"/>
          <w:b/>
          <w:color w:val="3333FF"/>
          <w:sz w:val="18"/>
          <w:szCs w:val="18"/>
          <w:lang w:val="es-ES"/>
        </w:rPr>
      </w:pPr>
    </w:p>
    <w:p>
      <w:pPr>
        <w:jc w:val="both"/>
      </w:pPr>
      <w:r>
        <w:t>Extrait du fichier de diffusion aux formats XML 00.05.10 et 16.00.00 tel que produit dans la V2.2 de INGRES toujours pour le code 51 la nomenclature BG_CODE_PF</w:t>
      </w:r>
    </w:p>
    <w:p>
      <w:pPr>
        <w:spacing w:before="0" w:after="0"/>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&lt;R_FOR_GEN_BOO02&gt;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&lt;VERSION_SIT_NOM&gt;01.00.00&lt;/VERSION_SIT_NOM&gt;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 &lt;TYPE_MAJ&gt;M&lt;/TYPE_MAJ&gt;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lastRenderedPageBreak/>
        <w:t xml:space="preserve"> &lt;R_FOR_IDEN02&gt;51&lt;/R_FOR_IDEN02&gt;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&lt;R_FOR_LIBABR&gt;xxxxxxx18cxxxxxxx&lt;/R_FOR_LIBABR&gt; </w:t>
      </w:r>
    </w:p>
    <w:p>
      <w:pPr>
        <w:spacing w:before="0" w:after="0"/>
        <w:ind w:left="1418" w:hanging="709"/>
        <w:rPr>
          <w:rFonts w:asciiTheme="minorHAnsi" w:hAnsiTheme="minorHAnsi" w:cstheme="minorHAnsi"/>
          <w:b/>
          <w:color w:val="3333FF"/>
          <w:sz w:val="18"/>
          <w:szCs w:val="18"/>
        </w:rPr>
      </w:pPr>
      <w:r>
        <w:rPr>
          <w:rFonts w:asciiTheme="minorHAnsi" w:hAnsiTheme="minorHAnsi" w:cstheme="minorHAnsi"/>
          <w:b/>
          <w:color w:val="3333FF"/>
          <w:sz w:val="18"/>
          <w:szCs w:val="18"/>
        </w:rPr>
        <w:t>&lt;R_FOR_LIBCOU&gt;</w:t>
      </w:r>
      <w:r>
        <w:rPr>
          <w:rFonts w:asciiTheme="minorHAnsi" w:hAnsiTheme="minorHAnsi" w:cstheme="minorHAnsi"/>
          <w:b/>
          <w:color w:val="FF0000"/>
          <w:sz w:val="18"/>
          <w:szCs w:val="18"/>
        </w:rPr>
        <w:t>A.F. majoration plus de 11 ans</w:t>
      </w:r>
      <w:r>
        <w:rPr>
          <w:rFonts w:asciiTheme="minorHAnsi" w:hAnsiTheme="minorHAnsi" w:cstheme="minorHAnsi"/>
          <w:b/>
          <w:color w:val="3333FF"/>
          <w:sz w:val="18"/>
          <w:szCs w:val="18"/>
        </w:rPr>
        <w:t xml:space="preserve">&lt;/R_FOR_LIBCOU&gt; </w:t>
      </w:r>
    </w:p>
    <w:p>
      <w:pPr>
        <w:spacing w:before="0" w:after="0"/>
        <w:ind w:left="1418" w:hanging="709"/>
        <w:rPr>
          <w:rFonts w:asciiTheme="minorHAnsi" w:hAnsiTheme="minorHAnsi" w:cstheme="minorHAnsi"/>
          <w:b/>
          <w:color w:val="3333FF"/>
          <w:sz w:val="18"/>
          <w:szCs w:val="18"/>
        </w:rPr>
      </w:pPr>
      <w:r>
        <w:rPr>
          <w:rFonts w:asciiTheme="minorHAnsi" w:hAnsiTheme="minorHAnsi" w:cstheme="minorHAnsi"/>
          <w:b/>
          <w:color w:val="3333FF"/>
          <w:sz w:val="18"/>
          <w:szCs w:val="18"/>
        </w:rPr>
        <w:t>&lt;R_FOR_LIBLON&gt;</w:t>
      </w:r>
      <w:r>
        <w:rPr>
          <w:rFonts w:asciiTheme="minorHAnsi" w:hAnsiTheme="minorHAnsi" w:cstheme="minorHAnsi"/>
          <w:b/>
          <w:color w:val="FF0000"/>
          <w:sz w:val="18"/>
          <w:szCs w:val="18"/>
        </w:rPr>
        <w:t>Allocations familiales majoration plus de 11 ans (enfants de plus de 11 ans nés avant le 30 avril 1997)</w:t>
      </w:r>
      <w:r>
        <w:rPr>
          <w:rFonts w:asciiTheme="minorHAnsi" w:hAnsiTheme="minorHAnsi" w:cstheme="minorHAnsi"/>
          <w:b/>
          <w:color w:val="3333FF"/>
          <w:sz w:val="18"/>
          <w:szCs w:val="18"/>
        </w:rPr>
        <w:t>&lt;/R_FOR_LIBLON&gt;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&lt;R_FOR_DATDEB&gt;</w:t>
      </w:r>
      <w:r>
        <w:rPr>
          <w:rFonts w:asciiTheme="minorHAnsi" w:hAnsiTheme="minorHAnsi" w:cstheme="minorHAnsi"/>
          <w:b/>
          <w:color w:val="FF0000"/>
          <w:sz w:val="18"/>
          <w:szCs w:val="18"/>
          <w:lang w:val="en-US"/>
        </w:rPr>
        <w:t>1900-01-01</w:t>
      </w:r>
      <w:r>
        <w:rPr>
          <w:rFonts w:asciiTheme="minorHAnsi" w:hAnsiTheme="minorHAnsi" w:cstheme="minorHAnsi"/>
          <w:b/>
          <w:color w:val="3333FF"/>
          <w:sz w:val="18"/>
          <w:szCs w:val="18"/>
          <w:lang w:val="en-US"/>
        </w:rPr>
        <w:t xml:space="preserve">&lt;/R_FOR_DATDEB&gt;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&lt;R_FOR_DATFIN&gt;</w:t>
      </w:r>
      <w:r>
        <w:rPr>
          <w:rFonts w:asciiTheme="minorHAnsi" w:hAnsiTheme="minorHAnsi" w:cstheme="minorHAnsi"/>
          <w:b/>
          <w:color w:val="FF0000"/>
          <w:sz w:val="18"/>
          <w:szCs w:val="18"/>
          <w:lang w:val="en-US"/>
        </w:rPr>
        <w:t>2013-04-30</w:t>
      </w:r>
      <w:r>
        <w:rPr>
          <w:rFonts w:asciiTheme="minorHAnsi" w:hAnsiTheme="minorHAnsi" w:cstheme="minorHAnsi"/>
          <w:b/>
          <w:color w:val="3333FF"/>
          <w:sz w:val="18"/>
          <w:szCs w:val="18"/>
          <w:lang w:val="en-US"/>
        </w:rPr>
        <w:t xml:space="preserve">&lt;/R_FOR_DATFIN&gt;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highlight w:val="yellow"/>
          <w:lang w:val="en-US"/>
        </w:rPr>
        <w:t>&lt;R_FOR_SAISIS&gt;</w:t>
      </w:r>
      <w:r>
        <w:rPr>
          <w:rFonts w:asciiTheme="minorHAnsi" w:hAnsiTheme="minorHAnsi" w:cstheme="minorHAnsi"/>
          <w:b/>
          <w:color w:val="FF0000"/>
          <w:sz w:val="18"/>
          <w:szCs w:val="18"/>
          <w:highlight w:val="yellow"/>
          <w:lang w:val="en-US"/>
        </w:rPr>
        <w:t>1</w:t>
      </w:r>
      <w:r>
        <w:rPr>
          <w:rFonts w:asciiTheme="minorHAnsi" w:hAnsiTheme="minorHAnsi" w:cstheme="minorHAnsi"/>
          <w:b/>
          <w:color w:val="3333FF"/>
          <w:sz w:val="18"/>
          <w:szCs w:val="18"/>
          <w:highlight w:val="yellow"/>
          <w:lang w:val="en-US"/>
        </w:rPr>
        <w:t>&lt;/R_FOR_SAISIS&gt;</w:t>
      </w:r>
      <w:r>
        <w:rPr>
          <w:rFonts w:asciiTheme="minorHAnsi" w:hAnsiTheme="minorHAnsi" w:cstheme="minorHAnsi"/>
          <w:b/>
          <w:color w:val="3333FF"/>
          <w:sz w:val="18"/>
          <w:szCs w:val="18"/>
          <w:lang w:val="en-US"/>
        </w:rPr>
        <w:t xml:space="preserve"> </w:t>
      </w:r>
    </w:p>
    <w:p>
      <w:pPr>
        <w:spacing w:before="0" w:after="0"/>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&lt;/R_FOR_GEN_BOO02&gt;</w:t>
      </w:r>
    </w:p>
    <w:p>
      <w:pPr>
        <w:spacing w:before="0" w:after="0"/>
        <w:rPr>
          <w:rFonts w:asciiTheme="minorHAnsi" w:hAnsiTheme="minorHAnsi" w:cstheme="minorHAnsi"/>
          <w:b/>
          <w:color w:val="3333FF"/>
          <w:sz w:val="18"/>
          <w:szCs w:val="18"/>
          <w:lang w:val="en-US"/>
        </w:rPr>
      </w:pPr>
    </w:p>
    <w:p>
      <w:pPr>
        <w:pStyle w:val="Titre5"/>
      </w:pPr>
      <w:r>
        <w:t>Les structures simples</w:t>
      </w:r>
    </w:p>
    <w:p>
      <w:pPr>
        <w:pStyle w:val="ONPPoint1"/>
        <w:numPr>
          <w:ilvl w:val="0"/>
          <w:numId w:val="0"/>
        </w:numPr>
        <w:tabs>
          <w:tab w:val="clear" w:pos="284"/>
          <w:tab w:val="left" w:pos="0"/>
        </w:tabs>
        <w:ind w:left="1"/>
        <w:jc w:val="both"/>
      </w:pPr>
      <w:r>
        <w:t xml:space="preserve">Autrement nommées « Mono-structures simples », ces structures sont composées d'un « code identifiant » et d'un « libellé ».  </w:t>
      </w:r>
    </w:p>
    <w:p>
      <w:pPr>
        <w:pStyle w:val="ONPPoint1"/>
        <w:numPr>
          <w:ilvl w:val="0"/>
          <w:numId w:val="0"/>
        </w:numPr>
        <w:tabs>
          <w:tab w:val="clear" w:pos="284"/>
          <w:tab w:val="left" w:pos="0"/>
        </w:tabs>
        <w:ind w:left="1"/>
        <w:jc w:val="both"/>
      </w:pPr>
      <w:r>
        <w:t xml:space="preserve">Il existe dans le Noyau 4 formats correspondants aux structures simples. Ces formats sont des déclinaisons de la même table « Format générique de table simple », dont le code R_FOR_SIMPLExx varie avec le format de l'identifiant. Ainsi, pour un identifiant sur 1 caractère, le format associé est FOR_SIMPLE01. Il est prévu, dans le Noyau, les formats pour des identifiants de 1 à 4 caractères, mais seuls des référentiels dont les identifiants sont sur 1 caractère ont été identifiés. </w:t>
      </w:r>
    </w:p>
    <w:p>
      <w:pPr>
        <w:pStyle w:val="ONPCorpsdetexte"/>
        <w:tabs>
          <w:tab w:val="left" w:pos="0"/>
          <w:tab w:val="left" w:pos="142"/>
        </w:tabs>
        <w:ind w:left="1"/>
        <w:jc w:val="both"/>
        <w:rPr>
          <w:u w:val="single"/>
        </w:rPr>
      </w:pPr>
      <w:r>
        <w:rPr>
          <w:b/>
        </w:rPr>
        <w:t>Exemple</w:t>
      </w:r>
      <w:r>
        <w:t> : la nomenclature « ECHEANCIER_JOUR» est associée à la structure FOR_SIMPLE01.</w:t>
      </w:r>
    </w:p>
    <w:p>
      <w:pPr>
        <w:pStyle w:val="Titre4"/>
        <w:jc w:val="both"/>
      </w:pPr>
      <w:bookmarkStart w:id="25" w:name="_Structures_spécifiques_à"/>
      <w:bookmarkEnd w:id="25"/>
      <w:r>
        <w:t>Structures spécifiques à une nomenclature</w:t>
      </w:r>
    </w:p>
    <w:p>
      <w:pPr>
        <w:tabs>
          <w:tab w:val="left" w:pos="0"/>
        </w:tabs>
        <w:ind w:left="1"/>
        <w:jc w:val="both"/>
      </w:pPr>
      <w:r>
        <w:t>Ces structures sont associées à des nomenclatures dites multi-structures, c’est-à-dire des nomenclatures possédant un format qui leur est propre. L’identifiant de ces structures est constitué de l’identifiant de la nomenclature précédé d’un « R_ ».</w:t>
      </w:r>
    </w:p>
    <w:p>
      <w:pPr>
        <w:ind w:left="1"/>
        <w:jc w:val="both"/>
      </w:pPr>
      <w:r>
        <w:rPr>
          <w:b/>
        </w:rPr>
        <w:t>Exemples</w:t>
      </w:r>
      <w:r>
        <w:t> : la nomenclature «ECHELON » est associée à la structure nommée R_ECHELON,  « INDICE » à la structure nommée « R_INDICE » et  « POSITION_SITUATION» à « R_POSITION_SITUATION».</w:t>
      </w:r>
    </w:p>
    <w:p>
      <w:pPr>
        <w:ind w:left="1"/>
        <w:jc w:val="both"/>
      </w:pPr>
    </w:p>
    <w:p>
      <w:pPr>
        <w:ind w:left="1"/>
        <w:jc w:val="both"/>
      </w:pPr>
      <w:r>
        <w:t>Il existe deux types de nomenclatures multi-structures :</w:t>
      </w:r>
    </w:p>
    <w:p>
      <w:pPr>
        <w:pStyle w:val="ONPPoint1"/>
        <w:numPr>
          <w:ilvl w:val="0"/>
          <w:numId w:val="139"/>
        </w:numPr>
        <w:tabs>
          <w:tab w:val="clear" w:pos="720"/>
          <w:tab w:val="num" w:pos="721"/>
        </w:tabs>
        <w:suppressAutoHyphens w:val="0"/>
        <w:ind w:left="721"/>
        <w:jc w:val="both"/>
      </w:pPr>
      <w:r>
        <w:t>Les nomenclatures indépendantes présentant des attributs simples de type identifiant, libellé, date de valeur, témoins, etc.</w:t>
      </w:r>
    </w:p>
    <w:p>
      <w:pPr>
        <w:pStyle w:val="Paragraphedeliste"/>
        <w:numPr>
          <w:ilvl w:val="0"/>
          <w:numId w:val="139"/>
        </w:numPr>
        <w:tabs>
          <w:tab w:val="clear" w:pos="720"/>
          <w:tab w:val="num" w:pos="721"/>
        </w:tabs>
        <w:ind w:left="721"/>
        <w:jc w:val="both"/>
      </w:pPr>
      <w:r>
        <w:t xml:space="preserve">Nomenclatures interdépendantes  comportant au moins </w:t>
      </w:r>
      <w:r>
        <w:rPr>
          <w:rFonts w:cs="Times New Roman"/>
          <w:szCs w:val="24"/>
        </w:rPr>
        <w:t xml:space="preserve">un attribut  décrivant un lien vers la clé primaire d’une autre nomenclature </w:t>
      </w:r>
    </w:p>
    <w:p>
      <w:pPr>
        <w:pStyle w:val="Titre4"/>
      </w:pPr>
      <w:bookmarkStart w:id="26" w:name="_Nomenclatures_interdépendantes"/>
      <w:bookmarkEnd w:id="26"/>
      <w:r>
        <w:t xml:space="preserve"> Nomenclatures interdépendantes </w:t>
      </w:r>
    </w:p>
    <w:p>
      <w:pPr>
        <w:pStyle w:val="ONPCorpsdetexte"/>
        <w:ind w:left="1"/>
        <w:jc w:val="both"/>
      </w:pPr>
      <w:r>
        <w:t>Certaines nomenclatures multi-structures, présentent des attributs décrits comme liés à une autre nomenclature. Ces nomenclatures dont dites « interdépendantes »</w:t>
      </w:r>
    </w:p>
    <w:p>
      <w:pPr>
        <w:pStyle w:val="ONPCorpsdetexte"/>
        <w:ind w:left="1"/>
        <w:jc w:val="both"/>
      </w:pPr>
      <w:r>
        <w:rPr>
          <w:b/>
        </w:rPr>
        <w:t>Exemple</w:t>
      </w:r>
      <w:r>
        <w:t xml:space="preserve"> : </w:t>
      </w:r>
    </w:p>
    <w:p>
      <w:pPr>
        <w:pStyle w:val="ONPCorpsdetexte"/>
        <w:ind w:left="1"/>
        <w:jc w:val="both"/>
      </w:pPr>
      <w:r>
        <w:lastRenderedPageBreak/>
        <w:t xml:space="preserve">La nomenclature « STATUT_TYPPOP » est liée aux nomenclatures « TYPO_POP », </w:t>
      </w:r>
      <w:hyperlink r:id="rId15" w:anchor="Agrégation_Statuts_Niv1" w:history="1">
        <w:r>
          <w:t>AGG_STATUT_NIV1</w:t>
        </w:r>
      </w:hyperlink>
      <w:r>
        <w:t xml:space="preserve"> et AGG_STATUT_NIV2. Ces liens se matérialisent par le fait que les attributs R_REL_TYPPOP, R_REL_STAGN1 et R_REL_STAGN1 sont associés à des référentiels liés. </w:t>
      </w:r>
    </w:p>
    <w:p>
      <w:pPr>
        <w:pStyle w:val="ONPCorpsdetexte"/>
        <w:ind w:left="1"/>
      </w:pPr>
    </w:p>
    <w:tbl>
      <w:tblPr>
        <w:tblW w:w="9428" w:type="dxa"/>
        <w:tblInd w:w="65" w:type="dxa"/>
        <w:tblCellMar>
          <w:left w:w="70" w:type="dxa"/>
          <w:right w:w="70" w:type="dxa"/>
        </w:tblCellMar>
        <w:tblLook w:val="04A0" w:firstRow="1" w:lastRow="0" w:firstColumn="1" w:lastColumn="0" w:noHBand="0" w:noVBand="1"/>
      </w:tblPr>
      <w:tblGrid>
        <w:gridCol w:w="1064"/>
        <w:gridCol w:w="1134"/>
        <w:gridCol w:w="1701"/>
        <w:gridCol w:w="2835"/>
        <w:gridCol w:w="851"/>
        <w:gridCol w:w="1843"/>
      </w:tblGrid>
      <w:tr>
        <w:trPr>
          <w:trHeight w:val="754"/>
        </w:trPr>
        <w:tc>
          <w:tcPr>
            <w:tcW w:w="1064" w:type="dxa"/>
            <w:tcBorders>
              <w:top w:val="single" w:sz="4" w:space="0" w:color="auto"/>
              <w:left w:val="single" w:sz="4" w:space="0" w:color="auto"/>
              <w:bottom w:val="single" w:sz="4" w:space="0" w:color="auto"/>
              <w:right w:val="single" w:sz="4" w:space="0" w:color="auto"/>
            </w:tcBorders>
            <w:shd w:val="clear" w:color="000000" w:fill="B8CCE4"/>
            <w:textDirection w:val="btLr"/>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Version</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Type de mise à jour</w:t>
            </w:r>
          </w:p>
        </w:tc>
        <w:tc>
          <w:tcPr>
            <w:tcW w:w="1701" w:type="dxa"/>
            <w:tcBorders>
              <w:top w:val="single" w:sz="4" w:space="0" w:color="auto"/>
              <w:left w:val="nil"/>
              <w:bottom w:val="single" w:sz="4" w:space="0" w:color="auto"/>
              <w:right w:val="single" w:sz="4" w:space="0" w:color="auto"/>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CODE</w:t>
            </w:r>
          </w:p>
        </w:tc>
        <w:tc>
          <w:tcPr>
            <w:tcW w:w="2835" w:type="dxa"/>
            <w:tcBorders>
              <w:top w:val="single" w:sz="4" w:space="0" w:color="auto"/>
              <w:left w:val="nil"/>
              <w:bottom w:val="single" w:sz="4" w:space="0" w:color="auto"/>
              <w:right w:val="nil"/>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LIBELLES  DONNÉES</w:t>
            </w:r>
          </w:p>
        </w:tc>
        <w:tc>
          <w:tcPr>
            <w:tcW w:w="851" w:type="dxa"/>
            <w:tcBorders>
              <w:top w:val="single" w:sz="4" w:space="0" w:color="auto"/>
              <w:left w:val="single" w:sz="4" w:space="0" w:color="auto"/>
              <w:bottom w:val="single" w:sz="4" w:space="0" w:color="auto"/>
              <w:right w:val="nil"/>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Type de format</w:t>
            </w:r>
          </w:p>
        </w:tc>
        <w:tc>
          <w:tcPr>
            <w:tcW w:w="1843" w:type="dxa"/>
            <w:tcBorders>
              <w:top w:val="single" w:sz="4" w:space="0" w:color="auto"/>
              <w:left w:val="single" w:sz="4" w:space="0" w:color="auto"/>
              <w:bottom w:val="single" w:sz="4" w:space="0" w:color="auto"/>
              <w:right w:val="single" w:sz="4" w:space="0" w:color="auto"/>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Référentiel lié</w:t>
            </w:r>
          </w:p>
        </w:tc>
      </w:tr>
      <w:tr>
        <w:trPr>
          <w:trHeight w:val="424"/>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Complété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R_FOR_IDEN05</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Identifiant statut</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416"/>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V17.00.00</w:t>
            </w:r>
          </w:p>
        </w:tc>
        <w:tc>
          <w:tcPr>
            <w:tcW w:w="1134" w:type="dxa"/>
            <w:tcBorders>
              <w:top w:val="single" w:sz="4" w:space="0" w:color="auto"/>
              <w:left w:val="nil"/>
              <w:bottom w:val="single" w:sz="4" w:space="0" w:color="auto"/>
              <w:right w:val="single" w:sz="4" w:space="0" w:color="auto"/>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Complété</w:t>
            </w:r>
          </w:p>
        </w:tc>
        <w:tc>
          <w:tcPr>
            <w:tcW w:w="1701" w:type="dxa"/>
            <w:tcBorders>
              <w:top w:val="single" w:sz="4" w:space="0" w:color="auto"/>
              <w:left w:val="nil"/>
              <w:bottom w:val="single" w:sz="4" w:space="0" w:color="auto"/>
              <w:right w:val="single" w:sz="4" w:space="0" w:color="auto"/>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R_FOR_LIBABR</w:t>
            </w:r>
          </w:p>
        </w:tc>
        <w:tc>
          <w:tcPr>
            <w:tcW w:w="2835" w:type="dxa"/>
            <w:tcBorders>
              <w:top w:val="single" w:sz="4" w:space="0" w:color="auto"/>
              <w:left w:val="nil"/>
              <w:bottom w:val="single" w:sz="4" w:space="0" w:color="auto"/>
              <w:right w:val="nil"/>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Libellé abrégé</w:t>
            </w:r>
          </w:p>
        </w:tc>
        <w:tc>
          <w:tcPr>
            <w:tcW w:w="851" w:type="dxa"/>
            <w:tcBorders>
              <w:top w:val="single" w:sz="4" w:space="0" w:color="auto"/>
              <w:left w:val="single" w:sz="4" w:space="0" w:color="auto"/>
              <w:bottom w:val="single" w:sz="4" w:space="0" w:color="auto"/>
              <w:right w:val="nil"/>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p>
        </w:tc>
      </w:tr>
      <w:tr>
        <w:trPr>
          <w:trHeight w:val="416"/>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Complété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R_FOR_LIBCOU</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Libellé court</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423"/>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Complété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R_FOR_LIBLON</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Libellé long</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401"/>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Ajouté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R_REL_TYPPOP</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Clé de la table "Typologie de population" (TYPO_POP)</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hyperlink r:id="rId16" w:anchor="Typologie_de_population" w:history="1">
              <w:r>
                <w:rPr>
                  <w:rStyle w:val="Lienhypertexte"/>
                  <w:rFonts w:ascii="Arial" w:hAnsi="Arial" w:cs="Arial"/>
                  <w:bCs/>
                  <w:sz w:val="16"/>
                  <w:szCs w:val="16"/>
                  <w:lang w:val="fr-FR" w:eastAsia="fr-FR"/>
                </w:rPr>
                <w:t>TYPO_POP</w:t>
              </w:r>
            </w:hyperlink>
          </w:p>
        </w:tc>
      </w:tr>
      <w:tr>
        <w:trPr>
          <w:trHeight w:val="420"/>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00.03.40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Modifié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R_FOR_DATDEB</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Date de début</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DT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412"/>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R_FOR_DATFIN</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Date de fin</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DT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291"/>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Modifié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R_REL_STAGN1</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Clé de la table "Agrégation Statuts Niv1" (AGG_STATUT_NIV1)</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hyperlink r:id="rId17" w:anchor="Agrégation_Statuts_Niv1" w:history="1">
              <w:r>
                <w:rPr>
                  <w:rStyle w:val="Lienhypertexte"/>
                  <w:rFonts w:ascii="Arial" w:hAnsi="Arial" w:cs="Arial"/>
                  <w:bCs/>
                  <w:sz w:val="16"/>
                  <w:szCs w:val="16"/>
                  <w:lang w:val="fr-FR" w:eastAsia="fr-FR"/>
                </w:rPr>
                <w:t>AGG_STATUT_NIV1</w:t>
              </w:r>
            </w:hyperlink>
          </w:p>
        </w:tc>
      </w:tr>
      <w:tr>
        <w:trPr>
          <w:trHeight w:val="324"/>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Modifié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R_REL_STAGN2</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Clé de la table "Agrégation Statuts Niv2" (AGG_STATUT_NIV2)</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hyperlink r:id="rId18" w:anchor="Agrégation_Statuts_Niv2" w:history="1">
              <w:r>
                <w:rPr>
                  <w:rStyle w:val="Lienhypertexte"/>
                  <w:rFonts w:ascii="Arial" w:hAnsi="Arial" w:cs="Arial"/>
                  <w:bCs/>
                  <w:sz w:val="16"/>
                  <w:szCs w:val="16"/>
                  <w:lang w:val="fr-FR" w:eastAsia="fr-FR"/>
                </w:rPr>
                <w:t>AGG_STATUT_NIV2</w:t>
              </w:r>
            </w:hyperlink>
          </w:p>
        </w:tc>
      </w:tr>
    </w:tbl>
    <w:p>
      <w:pPr>
        <w:pStyle w:val="Titre5"/>
      </w:pPr>
      <w:bookmarkStart w:id="27" w:name="_Nomenclatures_décrivant_un_1"/>
      <w:bookmarkEnd w:id="27"/>
      <w:r>
        <w:t xml:space="preserve">Nomenclatures décrivant un chaînage ou des liens </w:t>
      </w:r>
    </w:p>
    <w:p>
      <w:pPr>
        <w:ind w:left="1"/>
        <w:jc w:val="both"/>
      </w:pPr>
      <w:r>
        <w:t>Dans le dictionnaire des données (onglet Référentiels), chaque concept est porté par une nomenclature mère (corps, grades, etc.) tandis que la notion de chaînage est décrite par des structures filles dédiées (ex : Corps antérieur, Corps successeur, Corps débouché …etc.). De la même manière les liens de ces concepts avec les textes réglementaires fondateurs et le cas échéant avec des spécialités sont également définis via des structures filles dédiées (Corps – Spécialité, Corps - Texte, … etc.).</w:t>
      </w:r>
    </w:p>
    <w:p>
      <w:pPr>
        <w:ind w:left="1"/>
        <w:jc w:val="both"/>
      </w:pPr>
      <w:r>
        <w:t xml:space="preserve">Ces tables sont constituées d'au moins deux attributs : le premier portant un « lien » vers la nomenclature mère et ne portent pas de notion d’historique ( pas d’attribut Date de début de validité ou Date de fin de validité). Il en existe deux types : </w:t>
      </w:r>
    </w:p>
    <w:p>
      <w:pPr>
        <w:pStyle w:val="ONPCorpsdetexte"/>
        <w:numPr>
          <w:ilvl w:val="0"/>
          <w:numId w:val="120"/>
        </w:numPr>
        <w:spacing w:after="0"/>
        <w:ind w:left="609"/>
        <w:jc w:val="both"/>
      </w:pPr>
      <w:r>
        <w:t>Les tables de liens matérialisent les relations N-N pouvant exister entre une nomenclature mère – décrivant un concept tel que corps ou grades – et une nomenclature fille, le plus souvent la nomenclature TEXTE qui liste les références des différents textes réglementaires régissant la gestion RH dans la FPE. La présence de ces tables traduit le fait qu'un même texte puisse être applicable à plusieurs valeurs de nomenclature et qu'une même valeur de nomenclature puisse être liée à différents textes.</w:t>
      </w:r>
    </w:p>
    <w:p>
      <w:pPr>
        <w:pStyle w:val="ONPCorpsdetexte"/>
        <w:numPr>
          <w:ilvl w:val="0"/>
          <w:numId w:val="120"/>
        </w:numPr>
        <w:spacing w:after="0"/>
        <w:ind w:left="609"/>
        <w:jc w:val="both"/>
      </w:pPr>
      <w:r>
        <w:t xml:space="preserve"> Les tables matérialisant la notion de chaînage (Ex. Corps successeur, Corps antérieur, …), permettent une gestion d’historique qui consiste à raccorder entre elles plusieurs valeurs successives d’une même nomenclature (association réflexive). Le chaînage de ces valeurs successives permet de tracer ces évolutions. </w:t>
      </w:r>
    </w:p>
    <w:p>
      <w:pPr>
        <w:pStyle w:val="ONPCorpsdetexte"/>
        <w:spacing w:after="0"/>
        <w:ind w:left="1"/>
        <w:rPr>
          <w:u w:val="single"/>
        </w:rPr>
      </w:pPr>
      <w:r>
        <w:rPr>
          <w:u w:val="single"/>
        </w:rPr>
        <w:t>Liste des tables concernées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3048"/>
        <w:gridCol w:w="3352"/>
      </w:tblGrid>
      <w:tr>
        <w:tc>
          <w:tcPr>
            <w:tcW w:w="2662" w:type="dxa"/>
            <w:shd w:val="clear" w:color="auto" w:fill="95B3D7"/>
          </w:tcPr>
          <w:p>
            <w:pPr>
              <w:pStyle w:val="En-tte"/>
              <w:jc w:val="center"/>
              <w:rPr>
                <w:rFonts w:cs="CG Times (W1)"/>
                <w:b/>
                <w:sz w:val="18"/>
                <w:szCs w:val="18"/>
              </w:rPr>
            </w:pPr>
            <w:r>
              <w:rPr>
                <w:rFonts w:cs="CG Times (W1)"/>
                <w:b/>
                <w:sz w:val="18"/>
                <w:szCs w:val="18"/>
              </w:rPr>
              <w:lastRenderedPageBreak/>
              <w:t>Format des nomenclatures mères</w:t>
            </w:r>
          </w:p>
        </w:tc>
        <w:tc>
          <w:tcPr>
            <w:tcW w:w="3181" w:type="dxa"/>
            <w:shd w:val="clear" w:color="auto" w:fill="95B3D7"/>
          </w:tcPr>
          <w:p>
            <w:pPr>
              <w:pStyle w:val="En-tte"/>
              <w:tabs>
                <w:tab w:val="clear" w:pos="4320"/>
                <w:tab w:val="center" w:pos="3357"/>
              </w:tabs>
              <w:ind w:firstLine="32"/>
              <w:rPr>
                <w:rFonts w:cs="CG Times (W1)"/>
                <w:b/>
                <w:sz w:val="18"/>
                <w:szCs w:val="18"/>
              </w:rPr>
            </w:pPr>
            <w:r>
              <w:rPr>
                <w:rFonts w:cs="CG Times (W1)"/>
                <w:b/>
                <w:sz w:val="18"/>
                <w:szCs w:val="18"/>
              </w:rPr>
              <w:t>Format des tables matérialisant le chaînage</w:t>
            </w:r>
          </w:p>
        </w:tc>
        <w:tc>
          <w:tcPr>
            <w:tcW w:w="3486" w:type="dxa"/>
            <w:shd w:val="clear" w:color="auto" w:fill="95B3D7"/>
          </w:tcPr>
          <w:p>
            <w:pPr>
              <w:pStyle w:val="En-tte"/>
              <w:jc w:val="center"/>
              <w:rPr>
                <w:rFonts w:cs="CG Times (W1)"/>
                <w:b/>
                <w:sz w:val="18"/>
                <w:szCs w:val="18"/>
              </w:rPr>
            </w:pPr>
            <w:r>
              <w:rPr>
                <w:rFonts w:cs="CG Times (W1)"/>
                <w:b/>
                <w:sz w:val="18"/>
                <w:szCs w:val="18"/>
              </w:rPr>
              <w:t>Format  des tables symbolisant une relation N-N</w:t>
            </w:r>
          </w:p>
        </w:tc>
      </w:tr>
      <w:tr>
        <w:trPr>
          <w:trHeight w:val="841"/>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R_CORPS</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R_CORPS_ANTE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R_CORPS_SUCS</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R_CORPS_DEBOUCHE</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R_CORPS_TEXTE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R_CORPS_SPECIALITE</w:t>
            </w:r>
          </w:p>
          <w:p>
            <w:pPr>
              <w:pStyle w:val="NormalWeb"/>
              <w:spacing w:before="0" w:beforeAutospacing="0" w:after="0" w:afterAutospacing="0"/>
              <w:ind w:left="222" w:firstLine="35"/>
              <w:rPr>
                <w:rFonts w:ascii="Arial" w:hAnsi="Arial" w:cs="Arial"/>
                <w:sz w:val="20"/>
                <w:szCs w:val="20"/>
              </w:rPr>
            </w:pPr>
          </w:p>
        </w:tc>
      </w:tr>
      <w:tr>
        <w:trPr>
          <w:trHeight w:val="838"/>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R_GRADE</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lang w:val="es-ES_tradnl"/>
              </w:rPr>
            </w:pPr>
            <w:r>
              <w:rPr>
                <w:rFonts w:ascii="Arial" w:hAnsi="Arial" w:cs="Arial"/>
                <w:sz w:val="20"/>
                <w:szCs w:val="20"/>
                <w:lang w:val="es-ES_tradnl"/>
              </w:rPr>
              <w:t>R_GRADE_ANTE</w:t>
            </w:r>
          </w:p>
          <w:p>
            <w:pPr>
              <w:pStyle w:val="NormalWeb"/>
              <w:spacing w:before="0" w:beforeAutospacing="0" w:after="0" w:afterAutospacing="0"/>
              <w:ind w:left="222" w:firstLine="35"/>
              <w:rPr>
                <w:rFonts w:ascii="Arial" w:hAnsi="Arial" w:cs="Arial"/>
                <w:sz w:val="20"/>
                <w:szCs w:val="20"/>
                <w:lang w:val="es-ES_tradnl"/>
              </w:rPr>
            </w:pPr>
            <w:r>
              <w:rPr>
                <w:rFonts w:ascii="Arial" w:hAnsi="Arial" w:cs="Arial"/>
                <w:sz w:val="20"/>
                <w:szCs w:val="20"/>
                <w:lang w:val="es-ES_tradnl"/>
              </w:rPr>
              <w:t>R_GRADE_SUCS</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R_GRADE_DEBOUCHE</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R_GRADE_TEXTE</w:t>
            </w:r>
          </w:p>
          <w:p>
            <w:pPr>
              <w:pStyle w:val="NormalWeb"/>
              <w:spacing w:before="0" w:beforeAutospacing="0" w:after="0" w:afterAutospacing="0"/>
              <w:ind w:left="222" w:firstLine="35"/>
              <w:rPr>
                <w:rFonts w:ascii="Arial" w:hAnsi="Arial" w:cs="Arial"/>
                <w:sz w:val="20"/>
                <w:szCs w:val="20"/>
              </w:rPr>
            </w:pPr>
          </w:p>
        </w:tc>
      </w:tr>
      <w:tr>
        <w:trPr>
          <w:trHeight w:val="695"/>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R_EMPL_FCTL</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lang w:val="es-ES_tradnl"/>
              </w:rPr>
            </w:pPr>
            <w:r>
              <w:rPr>
                <w:rFonts w:ascii="Arial" w:hAnsi="Arial" w:cs="Arial"/>
                <w:sz w:val="20"/>
                <w:szCs w:val="20"/>
                <w:lang w:val="es-ES_tradnl"/>
              </w:rPr>
              <w:t>R_EMPL_ANTE</w:t>
            </w:r>
          </w:p>
          <w:p>
            <w:pPr>
              <w:pStyle w:val="NormalWeb"/>
              <w:spacing w:before="0" w:beforeAutospacing="0" w:after="0" w:afterAutospacing="0"/>
              <w:ind w:left="222" w:firstLine="35"/>
              <w:rPr>
                <w:rFonts w:ascii="Arial" w:hAnsi="Arial" w:cs="Arial"/>
                <w:sz w:val="20"/>
                <w:szCs w:val="20"/>
                <w:lang w:val="es-ES_tradnl"/>
              </w:rPr>
            </w:pPr>
            <w:r>
              <w:rPr>
                <w:rFonts w:ascii="Arial" w:hAnsi="Arial" w:cs="Arial"/>
                <w:sz w:val="20"/>
                <w:szCs w:val="20"/>
                <w:lang w:val="es-ES_tradnl"/>
              </w:rPr>
              <w:t>R_EMPL_SUCS</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R_EMPL_TEXTE</w:t>
            </w:r>
          </w:p>
          <w:p>
            <w:pPr>
              <w:pStyle w:val="NormalWeb"/>
              <w:spacing w:before="0" w:beforeAutospacing="0" w:after="0" w:afterAutospacing="0"/>
              <w:ind w:left="222" w:firstLine="35"/>
              <w:rPr>
                <w:rFonts w:ascii="Arial" w:hAnsi="Arial" w:cs="Arial"/>
                <w:sz w:val="20"/>
                <w:szCs w:val="20"/>
              </w:rPr>
            </w:pPr>
          </w:p>
        </w:tc>
      </w:tr>
      <w:tr>
        <w:trPr>
          <w:trHeight w:val="407"/>
        </w:trPr>
        <w:tc>
          <w:tcPr>
            <w:tcW w:w="2662" w:type="dxa"/>
            <w:shd w:val="clear" w:color="auto" w:fill="auto"/>
            <w:vAlign w:val="center"/>
          </w:tcPr>
          <w:p>
            <w:pPr>
              <w:pStyle w:val="NormalWeb"/>
              <w:spacing w:before="0" w:beforeAutospacing="0" w:after="0" w:afterAutospacing="0"/>
              <w:ind w:firstLine="35"/>
              <w:rPr>
                <w:rFonts w:ascii="Arial" w:hAnsi="Arial" w:cs="Arial"/>
                <w:sz w:val="20"/>
                <w:szCs w:val="20"/>
              </w:rPr>
            </w:pPr>
            <w:r>
              <w:rPr>
                <w:rFonts w:ascii="Arial" w:hAnsi="Arial" w:cs="Arial"/>
                <w:sz w:val="20"/>
                <w:szCs w:val="20"/>
              </w:rPr>
              <w:t>R_GPE_EMPL_FCTL</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R_GPE_EMPL_TEXTE</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r>
      <w:tr>
        <w:trPr>
          <w:trHeight w:val="613"/>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R_SPECIALITE</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R_SPECIALITE_ANTE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R_SPECIALITE_SUCS</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R_SPECIALITE_TEXTE</w:t>
            </w:r>
          </w:p>
          <w:p>
            <w:pPr>
              <w:pStyle w:val="NormalWeb"/>
              <w:spacing w:before="0" w:beforeAutospacing="0" w:after="0" w:afterAutospacing="0"/>
              <w:ind w:left="222" w:firstLine="35"/>
              <w:rPr>
                <w:rFonts w:ascii="Arial" w:hAnsi="Arial" w:cs="Arial"/>
                <w:sz w:val="20"/>
                <w:szCs w:val="20"/>
              </w:rPr>
            </w:pPr>
          </w:p>
        </w:tc>
      </w:tr>
      <w:t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R_GRILLE_IND</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R_GRILLE_ANTE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R_GRILLE_SUCS</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R_GRILLE_TEXTE</w:t>
            </w:r>
          </w:p>
          <w:p>
            <w:pPr>
              <w:pStyle w:val="NormalWeb"/>
              <w:spacing w:before="0" w:beforeAutospacing="0" w:after="0" w:afterAutospacing="0"/>
              <w:ind w:left="222" w:firstLine="35"/>
              <w:rPr>
                <w:rFonts w:ascii="Arial" w:hAnsi="Arial" w:cs="Arial"/>
                <w:sz w:val="20"/>
                <w:szCs w:val="20"/>
              </w:rPr>
            </w:pPr>
          </w:p>
        </w:tc>
      </w:tr>
      <w:tr>
        <w:trPr>
          <w:trHeight w:val="317"/>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R_ECHELON</w:t>
            </w:r>
          </w:p>
        </w:tc>
        <w:tc>
          <w:tcPr>
            <w:tcW w:w="3181" w:type="dxa"/>
            <w:shd w:val="clear" w:color="auto" w:fill="auto"/>
            <w:vAlign w:val="center"/>
          </w:tcPr>
          <w:p>
            <w:pPr>
              <w:pStyle w:val="NormalWeb"/>
              <w:spacing w:before="0" w:beforeAutospacing="0" w:after="0" w:afterAutospacing="0"/>
              <w:ind w:left="222" w:firstLine="35"/>
            </w:pPr>
            <w:r>
              <w:rPr>
                <w:rFonts w:ascii="Arial" w:hAnsi="Arial" w:cs="Arial"/>
                <w:sz w:val="20"/>
                <w:szCs w:val="20"/>
              </w:rPr>
              <w:t>R_ECHELON_</w:t>
            </w:r>
            <w:r>
              <w:t xml:space="preserve"> </w:t>
            </w:r>
            <w:r>
              <w:rPr>
                <w:rFonts w:ascii="Arial" w:hAnsi="Arial" w:cs="Arial"/>
                <w:sz w:val="20"/>
                <w:szCs w:val="20"/>
              </w:rPr>
              <w:t>PRCD</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r>
      <w:tr>
        <w:trPr>
          <w:trHeight w:val="317"/>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R_INDICE</w:t>
            </w:r>
          </w:p>
        </w:tc>
        <w:tc>
          <w:tcPr>
            <w:tcW w:w="3181" w:type="dxa"/>
            <w:shd w:val="clear" w:color="auto" w:fill="auto"/>
            <w:vAlign w:val="center"/>
          </w:tcPr>
          <w:p>
            <w:pPr>
              <w:pStyle w:val="NormalWeb"/>
              <w:spacing w:before="0" w:beforeAutospacing="0" w:after="0" w:afterAutospacing="0"/>
              <w:ind w:left="222" w:firstLine="35"/>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R_INDICE_TEXTE</w:t>
            </w:r>
          </w:p>
        </w:tc>
      </w:tr>
      <w:tr>
        <w:trPr>
          <w:trHeight w:val="704"/>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R_FILIERE</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 FILIERE _ANTE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 FILIERE _SUCS</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 FILIERE _TEXTE</w:t>
            </w:r>
          </w:p>
        </w:tc>
      </w:tr>
      <w:tr>
        <w:trPr>
          <w:trHeight w:val="285"/>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CATG_STATUTAIRE</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firstLine="253"/>
              <w:rPr>
                <w:rFonts w:ascii="Arial" w:hAnsi="Arial" w:cs="Arial"/>
                <w:sz w:val="20"/>
                <w:szCs w:val="20"/>
              </w:rPr>
            </w:pPr>
            <w:r>
              <w:rPr>
                <w:rFonts w:ascii="Arial" w:hAnsi="Arial" w:cs="Arial"/>
                <w:sz w:val="20"/>
                <w:szCs w:val="20"/>
              </w:rPr>
              <w:t>R_CATG_STATUT_TEXTE</w:t>
            </w:r>
          </w:p>
        </w:tc>
      </w:tr>
      <w:tr>
        <w:trPr>
          <w:trHeight w:val="249"/>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R_ELEMENT_REMU</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R_ELTREM_DONASS</w:t>
            </w:r>
          </w:p>
        </w:tc>
      </w:tr>
      <w:tr>
        <w:trPr>
          <w:trHeight w:val="245"/>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R_FONCTION</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R_FONCTION_MINIST</w:t>
            </w:r>
          </w:p>
        </w:tc>
      </w:tr>
      <w:tr>
        <w:trPr>
          <w:trHeight w:val="263"/>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R_CARQ_US_HERITABLE</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R_CARUSHE_MINIST</w:t>
            </w:r>
          </w:p>
        </w:tc>
      </w:tr>
      <w:tr>
        <w:trPr>
          <w:trHeight w:val="233"/>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R_HEL</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R_HEL_TEXTE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R_HEL_CHEVRON</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R_HEL_CHEVRON_TEXTE</w:t>
            </w:r>
          </w:p>
        </w:tc>
      </w:tr>
      <w:tr>
        <w:trPr>
          <w:trHeight w:val="266"/>
        </w:trPr>
        <w:tc>
          <w:tcPr>
            <w:tcW w:w="2662" w:type="dxa"/>
            <w:shd w:val="clear" w:color="auto" w:fill="auto"/>
            <w:vAlign w:val="center"/>
          </w:tcPr>
          <w:p>
            <w:pPr>
              <w:pStyle w:val="NormalWeb"/>
              <w:spacing w:before="0" w:beforeAutospacing="0" w:after="0" w:afterAutospacing="0"/>
              <w:ind w:left="222" w:hanging="222"/>
              <w:jc w:val="both"/>
              <w:rPr>
                <w:rFonts w:ascii="Arial" w:hAnsi="Arial" w:cs="Arial"/>
                <w:sz w:val="20"/>
                <w:szCs w:val="20"/>
              </w:rPr>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r>
      <w:tr>
        <w:trPr>
          <w:trHeight w:val="269"/>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R_PAYS</w:t>
            </w:r>
          </w:p>
        </w:tc>
        <w:tc>
          <w:tcPr>
            <w:tcW w:w="3181" w:type="dxa"/>
            <w:shd w:val="clear" w:color="auto" w:fill="auto"/>
            <w:vAlign w:val="center"/>
          </w:tcPr>
          <w:p>
            <w:pPr>
              <w:pStyle w:val="NormalWeb"/>
              <w:spacing w:before="0" w:beforeAutospacing="0" w:after="0" w:afterAutospacing="0"/>
              <w:rPr>
                <w:rFonts w:ascii="Arial" w:hAnsi="Arial" w:cs="Arial"/>
                <w:sz w:val="20"/>
                <w:szCs w:val="20"/>
              </w:rPr>
            </w:pPr>
          </w:p>
        </w:tc>
        <w:tc>
          <w:tcPr>
            <w:tcW w:w="3486" w:type="dxa"/>
            <w:shd w:val="clear" w:color="auto" w:fill="auto"/>
            <w:vAlign w:val="center"/>
          </w:tcPr>
          <w:p>
            <w:pPr>
              <w:rPr>
                <w:rFonts w:ascii="Arial" w:hAnsi="Arial" w:cs="Arial"/>
                <w:sz w:val="20"/>
                <w:lang w:eastAsia="ko-KR"/>
              </w:rPr>
            </w:pPr>
            <w:r>
              <w:rPr>
                <w:rFonts w:ascii="Arial" w:hAnsi="Arial" w:cs="Arial"/>
                <w:sz w:val="20"/>
                <w:lang w:eastAsia="ko-KR"/>
              </w:rPr>
              <w:t>R_CTL_CONGE_ETRA</w:t>
            </w:r>
          </w:p>
        </w:tc>
      </w:tr>
    </w:tbl>
    <w:p>
      <w:pPr>
        <w:pStyle w:val="Titre5"/>
        <w:numPr>
          <w:ilvl w:val="4"/>
          <w:numId w:val="200"/>
        </w:numPr>
      </w:pPr>
      <w:r>
        <w:t xml:space="preserve">Nomenclatures présentant des attributs multivalués </w:t>
      </w:r>
    </w:p>
    <w:p>
      <w:pPr>
        <w:pStyle w:val="ONPCorpsdetexte"/>
        <w:ind w:left="1"/>
        <w:jc w:val="both"/>
      </w:pPr>
      <w:r>
        <w:t>Certaines nomenclatures présentent des attributs de nature 3 ou 4. Ces natures symbolisent le fait que ces attributs puissent être renseignés par 1 à n valeurs. Ces attributs s’interprètent de la même façon que les tables de liens décrites dans le chapitre précédent.</w:t>
      </w:r>
    </w:p>
    <w:p>
      <w:pPr>
        <w:pStyle w:val="ONPCorpsdetexte"/>
        <w:ind w:left="1"/>
        <w:jc w:val="both"/>
      </w:pPr>
      <w:r>
        <w:rPr>
          <w:b/>
        </w:rPr>
        <w:t>Exemple</w:t>
      </w:r>
      <w:r>
        <w:t> : la structure de la nomenclature POSITION-SITUATION présente l’attribut R_REL_TYPPOP comme lié à la nomenclature « Typologie de population » et étant de nature 4. Ceci traduit le fait qu’une même position puisse concerner plusieurs typologies de population, qu’une même typologie de population puisse  être concernée par plusieurs positions.</w:t>
      </w:r>
    </w:p>
    <w:p>
      <w:pPr>
        <w:pStyle w:val="ONPCorpsdetexte"/>
        <w:ind w:left="1"/>
        <w:jc w:val="center"/>
        <w:rPr>
          <w:i/>
        </w:rPr>
      </w:pPr>
      <w:r>
        <w:rPr>
          <w:noProof/>
          <w:lang w:eastAsia="fr-FR"/>
        </w:rPr>
        <w:lastRenderedPageBreak/>
        <w:drawing>
          <wp:inline distT="0" distB="0" distL="0" distR="0">
            <wp:extent cx="5494352" cy="1820848"/>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01660" cy="1823270"/>
                    </a:xfrm>
                    <a:prstGeom prst="rect">
                      <a:avLst/>
                    </a:prstGeom>
                  </pic:spPr>
                </pic:pic>
              </a:graphicData>
            </a:graphic>
          </wp:inline>
        </w:drawing>
      </w:r>
    </w:p>
    <w:p>
      <w:pPr>
        <w:pStyle w:val="ONPCorpsdetexte"/>
        <w:ind w:left="1"/>
      </w:pPr>
    </w:p>
    <w:p>
      <w:pPr>
        <w:pStyle w:val="Titre2"/>
      </w:pPr>
      <w:bookmarkStart w:id="28" w:name="_Toc20761126"/>
      <w:r>
        <w:t>Contenu des nomenclatures</w:t>
      </w:r>
      <w:bookmarkEnd w:id="28"/>
      <w:r>
        <w:t xml:space="preserve"> </w:t>
      </w:r>
    </w:p>
    <w:p>
      <w:pPr>
        <w:pStyle w:val="ONPCorpsdetexte"/>
        <w:numPr>
          <w:ilvl w:val="0"/>
          <w:numId w:val="208"/>
        </w:numPr>
        <w:jc w:val="both"/>
      </w:pPr>
      <w:r>
        <w:t xml:space="preserve">Les règles régissant la valorisation des nomenclatures reposent essentiellement sur trois informations : la nature des attributs constituant sa structure et l’existence d’une clé multiple (constituée de plusieurs attributs) ainsi que  l’éventuelle relation existant entre un attribut et  un référentiel lié. La nature des attributs constituant la structure d’une nomenclature, tout comme la présence dans la clé de la table d’une date de début de validité permettent de catégoriser les nomenclatures en fonction de leur caractère historique. </w:t>
      </w:r>
    </w:p>
    <w:p>
      <w:pPr>
        <w:pStyle w:val="ONPCorpsdetexte"/>
        <w:numPr>
          <w:ilvl w:val="1"/>
          <w:numId w:val="208"/>
        </w:numPr>
        <w:jc w:val="both"/>
      </w:pPr>
      <w:r>
        <w:t xml:space="preserve">Les nomenclatures ne comprenant aucun attribut de nature 2-historique ou 4-multiple historique et dont la clé n’est constituée que d’un unique attribut sont dites « non historiques »: les modifications apportées au contenu de leurs attributs ne sont pas historisées. </w:t>
      </w:r>
    </w:p>
    <w:p>
      <w:pPr>
        <w:pStyle w:val="ONPCorpsdetexte"/>
        <w:numPr>
          <w:ilvl w:val="1"/>
          <w:numId w:val="208"/>
        </w:numPr>
        <w:jc w:val="both"/>
      </w:pPr>
      <w:r>
        <w:t xml:space="preserve">Les nomenclatures présentant au moins un attribut de nature 2-historique ou 4-multiple historique ou dont la clé est multiple et comprend la date de début de validité sont dites « historiques ». Les modifications apportées au contenu de leurs attributs de nature 2 ou 4 sont historisées. </w:t>
      </w:r>
    </w:p>
    <w:p>
      <w:pPr>
        <w:pStyle w:val="ONPCorpsdetexte"/>
        <w:numPr>
          <w:ilvl w:val="0"/>
          <w:numId w:val="208"/>
        </w:numPr>
        <w:jc w:val="both"/>
      </w:pPr>
      <w:r>
        <w:t>Les nomenclatures dont au moins un attribut référence une clé étrangère sont dites « Interdépendantes » (cf. §</w:t>
      </w:r>
      <w:hyperlink w:anchor="_Nomenclatures_interdépendantes" w:history="1">
        <w:r>
          <w:t>Nomenclatures interdépendantes</w:t>
        </w:r>
      </w:hyperlink>
      <w:r>
        <w:t>).</w:t>
      </w:r>
    </w:p>
    <w:p>
      <w:pPr>
        <w:pStyle w:val="Titre3"/>
      </w:pPr>
      <w:r>
        <w:t>Catégorisation des nomenclatures</w:t>
      </w:r>
    </w:p>
    <w:p>
      <w:pPr>
        <w:pStyle w:val="Titre4"/>
      </w:pPr>
      <w:r>
        <w:t>Nomenclatures non historiques</w:t>
      </w:r>
      <w:r>
        <w:tab/>
      </w:r>
    </w:p>
    <w:p>
      <w:pPr>
        <w:pStyle w:val="ONPCorpsdetexte"/>
        <w:ind w:left="1"/>
        <w:jc w:val="both"/>
      </w:pPr>
      <w:r>
        <w:t xml:space="preserve">Les nomenclatures dites génériques, génériques booléen ou simples ne présentent que des attributs de nature 1-Unique et sont donc non historiques. </w:t>
      </w:r>
    </w:p>
    <w:p>
      <w:pPr>
        <w:pStyle w:val="ONPCorpsdetexte"/>
        <w:ind w:left="1"/>
        <w:jc w:val="both"/>
      </w:pPr>
      <w:r>
        <w:t>La clé primaire de ces nomenclatures est leur identifiant. Dans une nomenclature non historique, chaque code présent dans une nomenclature est décrit via une unique occurrence.</w:t>
      </w:r>
    </w:p>
    <w:p>
      <w:pPr>
        <w:pStyle w:val="ONPCorpsdetexte"/>
        <w:ind w:left="1"/>
        <w:jc w:val="both"/>
      </w:pPr>
      <w:r>
        <w:t>Illustration : la nomenclature Titres de civilité a un format R_FOR_GENERIQ01</w:t>
      </w:r>
    </w:p>
    <w:p>
      <w:pPr>
        <w:pStyle w:val="ONPCorpsdetexte"/>
        <w:ind w:left="1"/>
      </w:pPr>
      <w:r>
        <w:rPr>
          <w:noProof/>
          <w:lang w:eastAsia="fr-FR"/>
        </w:rPr>
        <w:lastRenderedPageBreak/>
        <w:drawing>
          <wp:inline distT="0" distB="0" distL="0" distR="0">
            <wp:extent cx="5851525" cy="2036152"/>
            <wp:effectExtent l="0" t="0" r="0" b="254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51525" cy="2036152"/>
                    </a:xfrm>
                    <a:prstGeom prst="rect">
                      <a:avLst/>
                    </a:prstGeom>
                  </pic:spPr>
                </pic:pic>
              </a:graphicData>
            </a:graphic>
          </wp:inline>
        </w:drawing>
      </w:r>
    </w:p>
    <w:p>
      <w:pPr>
        <w:pStyle w:val="ONPCorpsdetexte"/>
        <w:ind w:left="1"/>
        <w:jc w:val="both"/>
      </w:pPr>
      <w:r>
        <w:t>Dans l’exemple ci-après la donnée libellé abrégé est présente avant le libellé court depuis la V17.00.00 du noyau</w:t>
      </w:r>
    </w:p>
    <w:p>
      <w:pPr>
        <w:pStyle w:val="ONPCorpsdetexte"/>
        <w:ind w:left="1"/>
        <w:jc w:val="both"/>
      </w:pPr>
      <w:r>
        <w:rPr>
          <w:b/>
        </w:rPr>
        <w:t>Exemple</w:t>
      </w:r>
      <w:r>
        <w:t> : Supposons une erreur de saisie dans le libellé long associé à un code de nomenclature, la correction apportée au libellé long dans la version 00.05.00 induit la modification du numéro de version associé à l’occurrence ainsi celle du type de mise à jour qui passe à « M » pour modifié mais aucune autre trace de l’évolution du libellé n’est conservée : la modification n’est pas historisée.</w:t>
      </w:r>
    </w:p>
    <w:p>
      <w:pPr>
        <w:pStyle w:val="ONPCorpsdetexte"/>
        <w:ind w:left="1"/>
        <w:jc w:val="both"/>
        <w:rPr>
          <w:u w:val="single"/>
        </w:rPr>
      </w:pPr>
      <w:r>
        <w:rPr>
          <w:u w:val="single"/>
        </w:rPr>
        <w:t>Avant la correction orthographique</w:t>
      </w:r>
    </w:p>
    <w:tbl>
      <w:tblPr>
        <w:tblW w:w="0" w:type="auto"/>
        <w:tblInd w:w="55" w:type="dxa"/>
        <w:tblCellMar>
          <w:left w:w="70" w:type="dxa"/>
          <w:right w:w="70" w:type="dxa"/>
        </w:tblCellMar>
        <w:tblLook w:val="0600" w:firstRow="0" w:lastRow="0" w:firstColumn="0" w:lastColumn="0" w:noHBand="1" w:noVBand="1"/>
      </w:tblPr>
      <w:tblGrid>
        <w:gridCol w:w="874"/>
        <w:gridCol w:w="1374"/>
        <w:gridCol w:w="1168"/>
        <w:gridCol w:w="1330"/>
        <w:gridCol w:w="1252"/>
        <w:gridCol w:w="1463"/>
        <w:gridCol w:w="1163"/>
      </w:tblGrid>
      <w:tr>
        <w:trPr>
          <w:trHeight w:val="525"/>
        </w:trPr>
        <w:tc>
          <w:tcPr>
            <w:tcW w:w="0" w:type="auto"/>
            <w:tcBorders>
              <w:top w:val="single" w:sz="8" w:space="0" w:color="000000"/>
              <w:left w:val="single" w:sz="8" w:space="0" w:color="000000"/>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Version</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Type de MAJ</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u w:val="single"/>
                <w:lang w:eastAsia="fr-FR"/>
              </w:rPr>
            </w:pPr>
            <w:r>
              <w:rPr>
                <w:rFonts w:ascii="Arial" w:hAnsi="Arial" w:cs="Arial"/>
                <w:b/>
                <w:bCs/>
                <w:color w:val="000000"/>
                <w:sz w:val="20"/>
                <w:u w:val="single"/>
                <w:lang w:eastAsia="fr-FR"/>
              </w:rPr>
              <w:t>Identifiant</w:t>
            </w:r>
            <w:r>
              <w:rPr>
                <w:rStyle w:val="Appelnotedebasdep"/>
                <w:rFonts w:ascii="Arial" w:hAnsi="Arial" w:cs="Arial"/>
                <w:b/>
                <w:bCs/>
                <w:color w:val="000000"/>
                <w:sz w:val="20"/>
                <w:u w:val="single"/>
                <w:lang w:eastAsia="fr-FR"/>
              </w:rPr>
              <w:footnoteReference w:id="3"/>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Libellé court</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Libellé long</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Date de début</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Date de fin</w:t>
            </w:r>
          </w:p>
        </w:tc>
      </w:tr>
      <w:tr>
        <w:trPr>
          <w:trHeight w:val="394"/>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V1.0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A</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1</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sz w:val="16"/>
                <w:szCs w:val="16"/>
                <w:lang w:eastAsia="fr-FR"/>
              </w:rPr>
              <w:t>Monsieur</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p>
        </w:tc>
      </w:tr>
      <w:tr>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V1.0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A</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2</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Mme</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Madame</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p>
        </w:tc>
      </w:tr>
      <w:tr>
        <w:trPr>
          <w:trHeight w:val="296"/>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00.03.40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3</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Mlle</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Mademoiselle</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20/02/2012</w:t>
            </w:r>
          </w:p>
        </w:tc>
      </w:tr>
    </w:tbl>
    <w:p>
      <w:pPr>
        <w:pStyle w:val="ONPCorpsdetexte"/>
        <w:ind w:left="1"/>
        <w:rPr>
          <w:u w:val="single"/>
        </w:rPr>
      </w:pPr>
      <w:r>
        <w:rPr>
          <w:u w:val="single"/>
        </w:rPr>
        <w:t>Après la correction orthographique</w:t>
      </w:r>
    </w:p>
    <w:tbl>
      <w:tblPr>
        <w:tblW w:w="0" w:type="auto"/>
        <w:tblInd w:w="55" w:type="dxa"/>
        <w:tblCellMar>
          <w:left w:w="70" w:type="dxa"/>
          <w:right w:w="70" w:type="dxa"/>
        </w:tblCellMar>
        <w:tblLook w:val="0600" w:firstRow="0" w:lastRow="0" w:firstColumn="0" w:lastColumn="0" w:noHBand="1" w:noVBand="1"/>
      </w:tblPr>
      <w:tblGrid>
        <w:gridCol w:w="874"/>
        <w:gridCol w:w="1374"/>
        <w:gridCol w:w="1168"/>
        <w:gridCol w:w="1330"/>
        <w:gridCol w:w="1252"/>
        <w:gridCol w:w="1463"/>
        <w:gridCol w:w="1163"/>
      </w:tblGrid>
      <w:tr>
        <w:trPr>
          <w:trHeight w:val="525"/>
        </w:trPr>
        <w:tc>
          <w:tcPr>
            <w:tcW w:w="0" w:type="auto"/>
            <w:tcBorders>
              <w:top w:val="single" w:sz="8" w:space="0" w:color="000000"/>
              <w:left w:val="single" w:sz="8" w:space="0" w:color="000000"/>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Version</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Type de MAJ</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u w:val="single"/>
                <w:lang w:eastAsia="fr-FR"/>
              </w:rPr>
            </w:pPr>
            <w:r>
              <w:rPr>
                <w:rFonts w:ascii="Arial" w:hAnsi="Arial" w:cs="Arial"/>
                <w:b/>
                <w:bCs/>
                <w:color w:val="000000"/>
                <w:sz w:val="20"/>
                <w:u w:val="single"/>
                <w:lang w:eastAsia="fr-FR"/>
              </w:rPr>
              <w:t>Identifiant</w:t>
            </w:r>
            <w:r>
              <w:rPr>
                <w:rStyle w:val="Appelnotedebasdep"/>
                <w:rFonts w:ascii="Arial" w:hAnsi="Arial" w:cs="Arial"/>
                <w:b/>
                <w:bCs/>
                <w:color w:val="000000"/>
                <w:sz w:val="20"/>
                <w:u w:val="single"/>
                <w:lang w:eastAsia="fr-FR"/>
              </w:rPr>
              <w:t>3</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Libellé court</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Libellé long</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Date de début</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Date de fin</w:t>
            </w:r>
          </w:p>
        </w:tc>
      </w:tr>
      <w:tr>
        <w:trPr>
          <w:trHeight w:val="329"/>
        </w:trPr>
        <w:tc>
          <w:tcPr>
            <w:tcW w:w="0" w:type="auto"/>
            <w:tcBorders>
              <w:top w:val="single" w:sz="8" w:space="0" w:color="000000"/>
              <w:left w:val="single" w:sz="8" w:space="0" w:color="000000"/>
              <w:bottom w:val="single" w:sz="8" w:space="0" w:color="000000"/>
              <w:right w:val="single" w:sz="8" w:space="0" w:color="000000"/>
            </w:tcBorders>
            <w:shd w:val="clear" w:color="auto" w:fill="E5DFEC" w:themeFill="accent4" w:themeFillTint="33"/>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00.05.00</w:t>
            </w:r>
          </w:p>
        </w:tc>
        <w:tc>
          <w:tcPr>
            <w:tcW w:w="0" w:type="auto"/>
            <w:tcBorders>
              <w:top w:val="single" w:sz="8" w:space="0" w:color="000000"/>
              <w:left w:val="nil"/>
              <w:bottom w:val="single" w:sz="8" w:space="0" w:color="000000"/>
              <w:right w:val="single" w:sz="8" w:space="0" w:color="000000"/>
            </w:tcBorders>
            <w:shd w:val="clear" w:color="auto" w:fill="E5DFEC" w:themeFill="accent4" w:themeFillTint="33"/>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1</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E5DFEC" w:themeFill="accent4" w:themeFillTint="33"/>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Monsieur</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FF"/>
                <w:sz w:val="16"/>
                <w:szCs w:val="16"/>
                <w:lang w:eastAsia="fr-FR"/>
              </w:rPr>
            </w:pPr>
          </w:p>
        </w:tc>
      </w:tr>
      <w:tr>
        <w:trPr>
          <w:trHeight w:val="26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V1.0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A</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2</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Mme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Madame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FF"/>
                <w:sz w:val="16"/>
                <w:szCs w:val="16"/>
                <w:lang w:eastAsia="fr-FR"/>
              </w:rPr>
            </w:pPr>
          </w:p>
        </w:tc>
      </w:tr>
      <w:tr>
        <w:trPr>
          <w:trHeight w:val="11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00.03.40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3</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Mlle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Mademoiselle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20/02/2012</w:t>
            </w:r>
          </w:p>
        </w:tc>
      </w:tr>
    </w:tbl>
    <w:p>
      <w:pPr>
        <w:pStyle w:val="Titre4"/>
      </w:pPr>
      <w:r>
        <w:t>Nomenclatures historiques</w:t>
      </w:r>
      <w:r>
        <w:tab/>
      </w:r>
    </w:p>
    <w:p>
      <w:pPr>
        <w:pStyle w:val="Titre5"/>
      </w:pPr>
      <w:r>
        <w:t>Description</w:t>
      </w:r>
    </w:p>
    <w:p>
      <w:pPr>
        <w:pStyle w:val="ONPCorpsdetexte"/>
        <w:ind w:left="1"/>
        <w:jc w:val="both"/>
      </w:pPr>
      <w:r>
        <w:t>Dans une nomenclature historique, chaque code présent dans une nomenclature est décrit via au moins une occurrence.</w:t>
      </w:r>
    </w:p>
    <w:p>
      <w:pPr>
        <w:pStyle w:val="ONPCorpsdetexte"/>
        <w:ind w:left="1"/>
        <w:jc w:val="both"/>
        <w:rPr>
          <w:i/>
        </w:rPr>
      </w:pPr>
      <w:r>
        <w:rPr>
          <w:i/>
        </w:rPr>
        <w:t>Illustration : Structure de la nomenclature POSITION-SITUATION</w:t>
      </w:r>
    </w:p>
    <w:p>
      <w:pPr>
        <w:pStyle w:val="ONPCorpsdetexte"/>
        <w:ind w:left="1" w:hanging="852"/>
        <w:rPr>
          <w:i/>
        </w:rPr>
      </w:pPr>
      <w:r>
        <w:rPr>
          <w:noProof/>
          <w:lang w:eastAsia="fr-FR"/>
        </w:rPr>
        <w:lastRenderedPageBreak/>
        <w:drawing>
          <wp:inline distT="0" distB="0" distL="0" distR="0">
            <wp:extent cx="6981825" cy="1822281"/>
            <wp:effectExtent l="0" t="0" r="0" b="698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7751" r="-7751"/>
                    <a:stretch/>
                  </pic:blipFill>
                  <pic:spPr>
                    <a:xfrm>
                      <a:off x="0" y="0"/>
                      <a:ext cx="6985615" cy="1823270"/>
                    </a:xfrm>
                    <a:prstGeom prst="rect">
                      <a:avLst/>
                    </a:prstGeom>
                  </pic:spPr>
                </pic:pic>
              </a:graphicData>
            </a:graphic>
          </wp:inline>
        </w:drawing>
      </w:r>
    </w:p>
    <w:p>
      <w:pPr>
        <w:pStyle w:val="ONPCorpsdetexte"/>
        <w:numPr>
          <w:ilvl w:val="0"/>
          <w:numId w:val="42"/>
        </w:numPr>
        <w:tabs>
          <w:tab w:val="clear" w:pos="360"/>
          <w:tab w:val="num" w:pos="248"/>
        </w:tabs>
        <w:ind w:left="248"/>
        <w:jc w:val="both"/>
      </w:pPr>
      <w:r>
        <w:t>9 des 10 attributs relatifs constituant la structure de la nomenclature  sont de nature 1 : leurs modifications ne sont pas historisées.</w:t>
      </w:r>
    </w:p>
    <w:p>
      <w:pPr>
        <w:pStyle w:val="ONPCorpsdetexte"/>
        <w:numPr>
          <w:ilvl w:val="0"/>
          <w:numId w:val="42"/>
        </w:numPr>
        <w:tabs>
          <w:tab w:val="clear" w:pos="360"/>
          <w:tab w:val="num" w:pos="248"/>
        </w:tabs>
        <w:ind w:left="248"/>
        <w:jc w:val="both"/>
      </w:pPr>
      <w:r>
        <w:t>L’attribut «Typologie de population» est de nature 4 (multiple historique) : multivalué, il est renseigné par 1 à n valeurs et chacune des modifications apportées à une de ces valeurs est historisée</w:t>
      </w:r>
    </w:p>
    <w:p>
      <w:pPr>
        <w:pStyle w:val="ONPCorpsdetexte"/>
        <w:ind w:left="1"/>
        <w:jc w:val="both"/>
      </w:pPr>
    </w:p>
    <w:p>
      <w:pPr>
        <w:pStyle w:val="ONPCorpsdetexte"/>
        <w:ind w:left="1"/>
        <w:jc w:val="both"/>
      </w:pPr>
      <w:r>
        <w:t>Dans les exemples ci-après la donnée libellé abrégé est présente entre IDEN05 et le libellé court depuis la V17.00.00 du noyau</w:t>
      </w:r>
    </w:p>
    <w:p>
      <w:pPr>
        <w:pStyle w:val="ONPCorpsdetexte"/>
        <w:ind w:left="1"/>
        <w:jc w:val="both"/>
      </w:pPr>
      <w:r>
        <w:rPr>
          <w:b/>
        </w:rPr>
        <w:t>Exemple </w:t>
      </w:r>
      <w:r>
        <w:t>: le code</w:t>
      </w:r>
      <w:r>
        <w:rPr>
          <w:u w:val="single"/>
        </w:rPr>
        <w:t xml:space="preserve"> </w:t>
      </w:r>
      <w:r>
        <w:t>ACI02 a été supprimé logiquement dans la version 00.05.00 du noyau. Il apparait ici avec une date de début de validité renseignée avec la même valeur que la date de fin de validité et un type de mise à jour égal à « S ».</w:t>
      </w:r>
    </w:p>
    <w:p>
      <w:pPr>
        <w:pStyle w:val="ONPCorpsdetexte"/>
        <w:ind w:left="1"/>
      </w:pPr>
    </w:p>
    <w:tbl>
      <w:tblPr>
        <w:tblW w:w="10206" w:type="dxa"/>
        <w:tblInd w:w="49" w:type="dxa"/>
        <w:tblLayout w:type="fixed"/>
        <w:tblCellMar>
          <w:left w:w="70" w:type="dxa"/>
          <w:right w:w="70" w:type="dxa"/>
        </w:tblCellMar>
        <w:tblLook w:val="04A0" w:firstRow="1" w:lastRow="0" w:firstColumn="1" w:lastColumn="0" w:noHBand="0" w:noVBand="1"/>
      </w:tblPr>
      <w:tblGrid>
        <w:gridCol w:w="725"/>
        <w:gridCol w:w="577"/>
        <w:gridCol w:w="1097"/>
        <w:gridCol w:w="1028"/>
        <w:gridCol w:w="1505"/>
        <w:gridCol w:w="1618"/>
        <w:gridCol w:w="259"/>
        <w:gridCol w:w="258"/>
        <w:gridCol w:w="259"/>
        <w:gridCol w:w="258"/>
        <w:gridCol w:w="259"/>
        <w:gridCol w:w="712"/>
        <w:gridCol w:w="939"/>
        <w:gridCol w:w="712"/>
      </w:tblGrid>
      <w:tr>
        <w:trPr>
          <w:trHeight w:val="450"/>
        </w:trPr>
        <w:tc>
          <w:tcPr>
            <w:tcW w:w="7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57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09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02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150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R_FOR_LIBLON</w:t>
            </w:r>
          </w:p>
        </w:tc>
        <w:tc>
          <w:tcPr>
            <w:tcW w:w="16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R_FOR_LIBIMP</w:t>
            </w:r>
          </w:p>
        </w:tc>
        <w:tc>
          <w:tcPr>
            <w:tcW w:w="1293" w:type="dxa"/>
            <w:gridSpan w:val="5"/>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R_REL_TYPPOP</w:t>
            </w:r>
          </w:p>
        </w:tc>
        <w:tc>
          <w:tcPr>
            <w:tcW w:w="71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R_ADM_POPAYE</w:t>
            </w:r>
          </w:p>
        </w:tc>
        <w:tc>
          <w:tcPr>
            <w:tcW w:w="93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71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00.03.32</w:t>
            </w:r>
          </w:p>
        </w:tc>
        <w:tc>
          <w:tcPr>
            <w:tcW w:w="577" w:type="dxa"/>
            <w:tcBorders>
              <w:top w:val="nil"/>
              <w:left w:val="nil"/>
              <w:bottom w:val="single" w:sz="4" w:space="0" w:color="auto"/>
              <w:right w:val="single" w:sz="4" w:space="0" w:color="auto"/>
            </w:tcBorders>
            <w:shd w:val="clear" w:color="auto" w:fill="auto"/>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w:t>
            </w:r>
          </w:p>
        </w:tc>
        <w:tc>
          <w:tcPr>
            <w:tcW w:w="1097"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ACI01</w:t>
            </w:r>
          </w:p>
        </w:tc>
        <w:tc>
          <w:tcPr>
            <w:tcW w:w="102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w:t>
            </w:r>
          </w:p>
        </w:tc>
        <w:tc>
          <w:tcPr>
            <w:tcW w:w="1505"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161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5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5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71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1</w:t>
            </w:r>
          </w:p>
        </w:tc>
        <w:tc>
          <w:tcPr>
            <w:tcW w:w="93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71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 </w:t>
            </w:r>
          </w:p>
        </w:tc>
      </w:tr>
      <w:tr>
        <w:trPr>
          <w:trHeight w:val="81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00.05.00</w:t>
            </w:r>
          </w:p>
        </w:tc>
        <w:tc>
          <w:tcPr>
            <w:tcW w:w="577" w:type="dxa"/>
            <w:tcBorders>
              <w:top w:val="nil"/>
              <w:left w:val="nil"/>
              <w:bottom w:val="single" w:sz="4" w:space="0" w:color="auto"/>
              <w:right w:val="single" w:sz="4" w:space="0" w:color="auto"/>
            </w:tcBorders>
            <w:shd w:val="clear" w:color="auto" w:fill="auto"/>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S</w:t>
            </w:r>
          </w:p>
        </w:tc>
        <w:tc>
          <w:tcPr>
            <w:tcW w:w="1097"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ACI02</w:t>
            </w:r>
          </w:p>
        </w:tc>
        <w:tc>
          <w:tcPr>
            <w:tcW w:w="102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hors admi gratuit</w:t>
            </w:r>
          </w:p>
        </w:tc>
        <w:tc>
          <w:tcPr>
            <w:tcW w:w="1505"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 xml:space="preserve">Affecté "à titre gratuit" hors de l'administration et payé sur les programmes LOLF de l'administration </w:t>
            </w:r>
          </w:p>
        </w:tc>
        <w:tc>
          <w:tcPr>
            <w:tcW w:w="161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"à titre gratuit" hors de l'administration et payé ssur les programmes LOLF de l'administration</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5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5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71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1</w:t>
            </w:r>
          </w:p>
        </w:tc>
        <w:tc>
          <w:tcPr>
            <w:tcW w:w="93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71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r>
    </w:tbl>
    <w:p>
      <w:pPr>
        <w:pStyle w:val="ONPCorpsdetexte"/>
        <w:ind w:left="1"/>
      </w:pPr>
    </w:p>
    <w:p>
      <w:pPr>
        <w:pStyle w:val="ONPCorpsdetexte"/>
        <w:keepNext/>
        <w:ind w:left="1"/>
        <w:jc w:val="both"/>
      </w:pPr>
      <w:r>
        <w:lastRenderedPageBreak/>
        <w:t>Supposons que, dans une version 00.05.30 du noyau, la valeur associée à l’attribut « Position/situation payée» (attribut unique), renseignée à « 1 » passe à « 0 » à compter du 01/06/2011 pour le code de nomenclature ACI01. Cette mise à jour n’a pas de conséquence sur le nombre d’occurrences permettant la caractérisation du code ACI01</w:t>
      </w:r>
    </w:p>
    <w:tbl>
      <w:tblPr>
        <w:tblW w:w="10206" w:type="dxa"/>
        <w:tblInd w:w="55" w:type="dxa"/>
        <w:tblLayout w:type="fixed"/>
        <w:tblCellMar>
          <w:left w:w="70" w:type="dxa"/>
          <w:right w:w="70" w:type="dxa"/>
        </w:tblCellMar>
        <w:tblLook w:val="04A0" w:firstRow="1" w:lastRow="0" w:firstColumn="1" w:lastColumn="0" w:noHBand="0" w:noVBand="1"/>
      </w:tblPr>
      <w:tblGrid>
        <w:gridCol w:w="725"/>
        <w:gridCol w:w="577"/>
        <w:gridCol w:w="1097"/>
        <w:gridCol w:w="1139"/>
        <w:gridCol w:w="1518"/>
        <w:gridCol w:w="1672"/>
        <w:gridCol w:w="246"/>
        <w:gridCol w:w="259"/>
        <w:gridCol w:w="258"/>
        <w:gridCol w:w="259"/>
        <w:gridCol w:w="259"/>
        <w:gridCol w:w="773"/>
        <w:gridCol w:w="712"/>
        <w:gridCol w:w="712"/>
      </w:tblGrid>
      <w:tr>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68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33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38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185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R_FOR_LIBLON</w:t>
            </w:r>
          </w:p>
        </w:tc>
        <w:tc>
          <w:tcPr>
            <w:tcW w:w="20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R_FOR_LIBIMP</w:t>
            </w:r>
          </w:p>
        </w:tc>
        <w:tc>
          <w:tcPr>
            <w:tcW w:w="1403" w:type="dxa"/>
            <w:gridSpan w:val="5"/>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R_REL_TYPPOP</w:t>
            </w:r>
          </w:p>
        </w:tc>
        <w:tc>
          <w:tcPr>
            <w:tcW w:w="92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R_ADM_POPAYE</w:t>
            </w:r>
          </w:p>
        </w:tc>
        <w:tc>
          <w:tcPr>
            <w:tcW w:w="8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866"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00.05.30</w:t>
            </w:r>
          </w:p>
        </w:tc>
        <w:tc>
          <w:tcPr>
            <w:tcW w:w="682" w:type="dxa"/>
            <w:tcBorders>
              <w:top w:val="nil"/>
              <w:left w:val="nil"/>
              <w:bottom w:val="single" w:sz="4" w:space="0" w:color="auto"/>
              <w:right w:val="single" w:sz="4" w:space="0" w:color="auto"/>
            </w:tcBorders>
            <w:shd w:val="clear" w:color="auto" w:fill="CCC0D9" w:themeFill="accent4" w:themeFillTint="66"/>
            <w:noWrap/>
            <w:vAlign w:val="bottom"/>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M</w:t>
            </w:r>
          </w:p>
        </w:tc>
        <w:tc>
          <w:tcPr>
            <w:tcW w:w="1332"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ACI01</w:t>
            </w:r>
          </w:p>
        </w:tc>
        <w:tc>
          <w:tcPr>
            <w:tcW w:w="1385"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w:t>
            </w:r>
          </w:p>
        </w:tc>
        <w:tc>
          <w:tcPr>
            <w:tcW w:w="1859"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051"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68"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nil"/>
              <w:left w:val="nil"/>
              <w:bottom w:val="single" w:sz="4" w:space="0" w:color="auto"/>
              <w:right w:val="single" w:sz="4" w:space="0" w:color="auto"/>
            </w:tcBorders>
            <w:shd w:val="clear" w:color="auto" w:fill="CCC0D9" w:themeFill="accent4" w:themeFillTint="66"/>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0</w:t>
            </w:r>
          </w:p>
        </w:tc>
        <w:tc>
          <w:tcPr>
            <w:tcW w:w="850"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851"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 </w:t>
            </w:r>
          </w:p>
        </w:tc>
      </w:tr>
      <w:tr>
        <w:trPr>
          <w:trHeight w:val="81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00.05.00</w:t>
            </w:r>
          </w:p>
        </w:tc>
        <w:tc>
          <w:tcPr>
            <w:tcW w:w="682" w:type="dxa"/>
            <w:tcBorders>
              <w:top w:val="nil"/>
              <w:left w:val="nil"/>
              <w:bottom w:val="single" w:sz="4" w:space="0" w:color="auto"/>
              <w:right w:val="single" w:sz="4" w:space="0" w:color="auto"/>
            </w:tcBorders>
            <w:shd w:val="clear" w:color="auto" w:fill="auto"/>
            <w:noWrap/>
            <w:vAlign w:val="bottom"/>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S</w:t>
            </w:r>
          </w:p>
        </w:tc>
        <w:tc>
          <w:tcPr>
            <w:tcW w:w="1332"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ACI02</w:t>
            </w:r>
          </w:p>
        </w:tc>
        <w:tc>
          <w:tcPr>
            <w:tcW w:w="1385"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hors admi gratuit</w:t>
            </w:r>
          </w:p>
        </w:tc>
        <w:tc>
          <w:tcPr>
            <w:tcW w:w="1859"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 xml:space="preserve">Affecté "à titre gratuit" hors de l'administration et payé sur les programmes LOLF de l'administration </w:t>
            </w:r>
          </w:p>
        </w:tc>
        <w:tc>
          <w:tcPr>
            <w:tcW w:w="2051"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"à titre gratuit" hors de l'administration et payé ssur les programmes LOLF de l'administration</w:t>
            </w:r>
          </w:p>
        </w:tc>
        <w:tc>
          <w:tcPr>
            <w:tcW w:w="268"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1</w:t>
            </w:r>
          </w:p>
        </w:tc>
        <w:tc>
          <w:tcPr>
            <w:tcW w:w="850"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851"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r>
    </w:tbl>
    <w:p>
      <w:pPr>
        <w:pStyle w:val="ONPCorpsdetexte"/>
        <w:keepNext/>
      </w:pPr>
    </w:p>
    <w:p>
      <w:pPr>
        <w:pStyle w:val="ONPCorpsdetexte"/>
        <w:ind w:left="1"/>
        <w:jc w:val="both"/>
      </w:pPr>
      <w:r>
        <w:t xml:space="preserve">Supposons maintenant que, dans une version 00.05.50 du noyau, l’une des valeurs associées à l’attribut « Typologie» (attribut multiple historique) soit modifiée et que le code de nomenclature ACI01 jusqu’ici applicable à toutes les typologies de population ne soit plus applicable aux ouvriers à compter du 01/06/2011. </w:t>
      </w:r>
    </w:p>
    <w:p>
      <w:pPr>
        <w:pStyle w:val="ONPCorpsdetexte"/>
        <w:jc w:val="both"/>
      </w:pPr>
      <w:r>
        <w:t>La modification de la typologie de population entraine la clôture de l’occurrence en date du 31/05/2011 et la création d’une nouvelle occurrence dont la date de début de validité est renseignée avec la date du 01/06/2011</w:t>
      </w:r>
    </w:p>
    <w:tbl>
      <w:tblPr>
        <w:tblW w:w="10206" w:type="dxa"/>
        <w:tblInd w:w="55" w:type="dxa"/>
        <w:tblLayout w:type="fixed"/>
        <w:tblCellMar>
          <w:left w:w="70" w:type="dxa"/>
          <w:right w:w="70" w:type="dxa"/>
        </w:tblCellMar>
        <w:tblLook w:val="04A0" w:firstRow="1" w:lastRow="0" w:firstColumn="1" w:lastColumn="0" w:noHBand="0" w:noVBand="1"/>
      </w:tblPr>
      <w:tblGrid>
        <w:gridCol w:w="725"/>
        <w:gridCol w:w="577"/>
        <w:gridCol w:w="1097"/>
        <w:gridCol w:w="1139"/>
        <w:gridCol w:w="1518"/>
        <w:gridCol w:w="1672"/>
        <w:gridCol w:w="246"/>
        <w:gridCol w:w="259"/>
        <w:gridCol w:w="258"/>
        <w:gridCol w:w="259"/>
        <w:gridCol w:w="259"/>
        <w:gridCol w:w="773"/>
        <w:gridCol w:w="712"/>
        <w:gridCol w:w="712"/>
      </w:tblGrid>
      <w:tr>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68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33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38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185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R_FOR_LIBLON</w:t>
            </w:r>
          </w:p>
        </w:tc>
        <w:tc>
          <w:tcPr>
            <w:tcW w:w="20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R_FOR_LIBIMP</w:t>
            </w:r>
          </w:p>
        </w:tc>
        <w:tc>
          <w:tcPr>
            <w:tcW w:w="1403" w:type="dxa"/>
            <w:gridSpan w:val="5"/>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R_REL_TYPPOP</w:t>
            </w:r>
          </w:p>
        </w:tc>
        <w:tc>
          <w:tcPr>
            <w:tcW w:w="92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R_ADM_POPAYE</w:t>
            </w:r>
          </w:p>
        </w:tc>
        <w:tc>
          <w:tcPr>
            <w:tcW w:w="8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866"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682" w:type="dxa"/>
            <w:tcBorders>
              <w:top w:val="nil"/>
              <w:left w:val="nil"/>
              <w:bottom w:val="single" w:sz="4" w:space="0" w:color="auto"/>
              <w:right w:val="single" w:sz="4" w:space="0" w:color="auto"/>
            </w:tcBorders>
            <w:shd w:val="clear" w:color="auto" w:fill="FFFFFF" w:themeFill="background1"/>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M</w:t>
            </w:r>
          </w:p>
        </w:tc>
        <w:tc>
          <w:tcPr>
            <w:tcW w:w="133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ACI01</w:t>
            </w:r>
          </w:p>
        </w:tc>
        <w:tc>
          <w:tcPr>
            <w:tcW w:w="1385"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w:t>
            </w:r>
          </w:p>
        </w:tc>
        <w:tc>
          <w:tcPr>
            <w:tcW w:w="18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051"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6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84"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nil"/>
              <w:left w:val="nil"/>
              <w:bottom w:val="single" w:sz="4" w:space="0" w:color="auto"/>
              <w:right w:val="single" w:sz="4" w:space="0" w:color="auto"/>
            </w:tcBorders>
            <w:shd w:val="clear" w:color="auto" w:fill="FFFFFF" w:themeFill="background1"/>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0</w:t>
            </w:r>
          </w:p>
        </w:tc>
        <w:tc>
          <w:tcPr>
            <w:tcW w:w="850"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851" w:type="dxa"/>
            <w:tcBorders>
              <w:top w:val="nil"/>
              <w:left w:val="nil"/>
              <w:bottom w:val="single" w:sz="4" w:space="0" w:color="auto"/>
              <w:right w:val="single" w:sz="4" w:space="0" w:color="auto"/>
            </w:tcBorders>
            <w:shd w:val="clear" w:color="auto" w:fill="CCC0D9" w:themeFill="accent4" w:themeFillTint="66"/>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 </w:t>
            </w:r>
            <w:r>
              <w:rPr>
                <w:sz w:val="14"/>
                <w:szCs w:val="14"/>
              </w:rPr>
              <w:t>31/05/2011</w:t>
            </w:r>
          </w:p>
        </w:tc>
      </w:tr>
      <w:tr>
        <w:trPr>
          <w:trHeight w:val="381"/>
        </w:trPr>
        <w:tc>
          <w:tcPr>
            <w:tcW w:w="866" w:type="dxa"/>
            <w:tcBorders>
              <w:top w:val="nil"/>
              <w:left w:val="single" w:sz="4" w:space="0" w:color="auto"/>
              <w:bottom w:val="single" w:sz="4" w:space="0" w:color="auto"/>
              <w:right w:val="single" w:sz="4" w:space="0" w:color="auto"/>
            </w:tcBorders>
            <w:shd w:val="clear" w:color="auto" w:fill="CCC0D9" w:themeFill="accent4" w:themeFillTint="66"/>
            <w:noWrap/>
            <w:vAlign w:val="bottom"/>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682" w:type="dxa"/>
            <w:tcBorders>
              <w:top w:val="nil"/>
              <w:left w:val="nil"/>
              <w:bottom w:val="single" w:sz="4" w:space="0" w:color="auto"/>
              <w:right w:val="single" w:sz="4" w:space="0" w:color="auto"/>
            </w:tcBorders>
            <w:shd w:val="clear" w:color="auto" w:fill="CCC0D9" w:themeFill="accent4" w:themeFillTint="66"/>
            <w:noWrap/>
            <w:vAlign w:val="bottom"/>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w:t>
            </w:r>
          </w:p>
        </w:tc>
        <w:tc>
          <w:tcPr>
            <w:tcW w:w="1332"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ACI01</w:t>
            </w:r>
          </w:p>
        </w:tc>
        <w:tc>
          <w:tcPr>
            <w:tcW w:w="1385"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w:t>
            </w:r>
          </w:p>
        </w:tc>
        <w:tc>
          <w:tcPr>
            <w:tcW w:w="1859"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051"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68"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p>
        </w:tc>
        <w:tc>
          <w:tcPr>
            <w:tcW w:w="284"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0</w:t>
            </w:r>
          </w:p>
        </w:tc>
        <w:tc>
          <w:tcPr>
            <w:tcW w:w="850"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sz w:val="14"/>
                <w:szCs w:val="14"/>
              </w:rPr>
              <w:t>01/06/2011</w:t>
            </w:r>
          </w:p>
        </w:tc>
        <w:tc>
          <w:tcPr>
            <w:tcW w:w="851"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p>
        </w:tc>
      </w:tr>
      <w:tr>
        <w:trPr>
          <w:trHeight w:val="81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00.05.00</w:t>
            </w:r>
          </w:p>
        </w:tc>
        <w:tc>
          <w:tcPr>
            <w:tcW w:w="682" w:type="dxa"/>
            <w:tcBorders>
              <w:top w:val="single" w:sz="4" w:space="0" w:color="auto"/>
              <w:left w:val="nil"/>
              <w:bottom w:val="single" w:sz="4" w:space="0" w:color="auto"/>
              <w:right w:val="single" w:sz="4" w:space="0" w:color="auto"/>
            </w:tcBorders>
            <w:shd w:val="clear" w:color="auto" w:fill="auto"/>
            <w:noWrap/>
            <w:vAlign w:val="bottom"/>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S</w:t>
            </w:r>
          </w:p>
        </w:tc>
        <w:tc>
          <w:tcPr>
            <w:tcW w:w="1332"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ACI02</w:t>
            </w:r>
          </w:p>
        </w:tc>
        <w:tc>
          <w:tcPr>
            <w:tcW w:w="1385"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hors admi gratuit</w:t>
            </w:r>
          </w:p>
        </w:tc>
        <w:tc>
          <w:tcPr>
            <w:tcW w:w="1859"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 xml:space="preserve">Affecté "à titre gratuit" hors de l'administration et payé sur les programmes LOLF de l'administration </w:t>
            </w:r>
          </w:p>
        </w:tc>
        <w:tc>
          <w:tcPr>
            <w:tcW w:w="2051"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"à titre gratuit" hors de l'administration et payé ssur les programmes LOLF de l'administration</w:t>
            </w:r>
          </w:p>
        </w:tc>
        <w:tc>
          <w:tcPr>
            <w:tcW w:w="268"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84"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851"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r>
    </w:tbl>
    <w:p>
      <w:pPr>
        <w:ind w:left="1"/>
        <w:jc w:val="both"/>
      </w:pPr>
      <w:r>
        <w:t xml:space="preserve">Ici, le code ACI01 est décrit via 2 occurrences. Le code seul ne suffit donc pas pour différencier ces 2 items. La combinaison des </w:t>
      </w:r>
      <w:r>
        <w:tab/>
        <w:t>valeurs permettant d’identifier de façon unique une occurrence de la nomenclature POSITION_SITUATION est constituée de l’identifiant et de la date de début de validité. Ces deux attributs constituant la clé primaire de la nomenclature sont définis dans la description du format de la nomenclature (R_POSITION_SITUATION).</w:t>
      </w:r>
    </w:p>
    <w:p>
      <w:pPr>
        <w:pStyle w:val="Titre5"/>
      </w:pPr>
      <w:r>
        <w:t xml:space="preserve">Situation de nomenclature </w:t>
      </w:r>
      <w:r>
        <w:tab/>
      </w:r>
    </w:p>
    <w:p>
      <w:pPr>
        <w:pStyle w:val="ONPCorpsdetexte"/>
        <w:ind w:left="1"/>
        <w:jc w:val="both"/>
      </w:pPr>
      <w:r>
        <w:t xml:space="preserve">Dans une nomenclature historique, un code peut être décrit via plusieurs occurrences décrivant chacune </w:t>
      </w:r>
      <w:r>
        <w:rPr>
          <w:b/>
          <w:bCs/>
        </w:rPr>
        <w:t xml:space="preserve">une situation de nomenclature. </w:t>
      </w:r>
      <w:r>
        <w:t>L’ensemble des N situations de nomenclature représente la période de validité du code de nomenclature.</w:t>
      </w:r>
    </w:p>
    <w:p>
      <w:pPr>
        <w:pStyle w:val="ONPCorpsdetexte"/>
        <w:ind w:left="1"/>
        <w:jc w:val="both"/>
        <w:rPr>
          <w:b/>
          <w:bCs/>
        </w:rPr>
      </w:pPr>
      <w:r>
        <w:rPr>
          <w:bCs/>
        </w:rPr>
        <w:t>Ainsi</w:t>
      </w:r>
      <w:r>
        <w:rPr>
          <w:b/>
          <w:bCs/>
        </w:rPr>
        <w:t xml:space="preserve">, </w:t>
      </w:r>
    </w:p>
    <w:p>
      <w:pPr>
        <w:pStyle w:val="ONPCorpsdetexte"/>
        <w:numPr>
          <w:ilvl w:val="0"/>
          <w:numId w:val="42"/>
        </w:numPr>
        <w:tabs>
          <w:tab w:val="clear" w:pos="360"/>
          <w:tab w:val="num" w:pos="248"/>
        </w:tabs>
        <w:ind w:left="248"/>
        <w:jc w:val="both"/>
      </w:pPr>
      <w:r>
        <w:t>Une situation de nomenclature désigne la période durant laquelle tous les attributs d’un code de nomenclature sont valides, et chaque attribut de code de nomenclature prend une valeur fixe sur cette période.</w:t>
      </w:r>
    </w:p>
    <w:p>
      <w:pPr>
        <w:pStyle w:val="ONPCorpsdetexte"/>
        <w:numPr>
          <w:ilvl w:val="0"/>
          <w:numId w:val="42"/>
        </w:numPr>
        <w:tabs>
          <w:tab w:val="clear" w:pos="360"/>
          <w:tab w:val="num" w:pos="248"/>
        </w:tabs>
        <w:ind w:left="248"/>
        <w:jc w:val="both"/>
      </w:pPr>
      <w:r>
        <w:lastRenderedPageBreak/>
        <w:t xml:space="preserve">La date de début de la première situation de nomenclature (1ère occurrence) correspond à la date de début de validité du code. </w:t>
      </w:r>
    </w:p>
    <w:p>
      <w:pPr>
        <w:pStyle w:val="ONPCorpsdetexte"/>
        <w:numPr>
          <w:ilvl w:val="0"/>
          <w:numId w:val="42"/>
        </w:numPr>
        <w:tabs>
          <w:tab w:val="clear" w:pos="360"/>
          <w:tab w:val="num" w:pos="248"/>
        </w:tabs>
        <w:ind w:left="248"/>
        <w:jc w:val="both"/>
      </w:pPr>
      <w:r>
        <w:t>La date de fin de la dernière situation de nomenclature (dernière occurrence) correspond à la date de fin de validité du code.</w:t>
      </w:r>
    </w:p>
    <w:p>
      <w:pPr>
        <w:pStyle w:val="ONPCorpsdetexte"/>
        <w:ind w:left="1"/>
        <w:jc w:val="both"/>
      </w:pPr>
      <w:r>
        <w:t>Un code de nomenclature dont la date de fin de validité de la dernière situation de nomenclature est renseignée est dit clôturé.</w:t>
      </w:r>
    </w:p>
    <w:p>
      <w:pPr>
        <w:pStyle w:val="ONPCorpsdetexte"/>
        <w:ind w:left="1"/>
      </w:pPr>
    </w:p>
    <w:p>
      <w:pPr>
        <w:pStyle w:val="ONPCorpsdetexte"/>
        <w:ind w:left="1"/>
        <w:rPr>
          <w:b/>
          <w:bCs/>
          <w:u w:val="single"/>
        </w:rPr>
      </w:pPr>
      <w:r>
        <w:rPr>
          <w:b/>
          <w:bCs/>
          <w:u w:val="single"/>
        </w:rPr>
        <w:t>Exemple</w:t>
      </w:r>
    </w:p>
    <w:p>
      <w:pPr>
        <w:pStyle w:val="ONPCorpsdetexte"/>
        <w:ind w:left="1"/>
        <w:jc w:val="both"/>
      </w:pPr>
      <w:r>
        <w:t>Les « date de début » et « date de fin » successives de situation d’un code de nomenclature « ECHE1 » du référentiel « ECHELON » peuvent être, par exemple :</w:t>
      </w:r>
    </w:p>
    <w:p>
      <w:pPr>
        <w:pStyle w:val="ONPCorpsdetexte"/>
        <w:numPr>
          <w:ilvl w:val="0"/>
          <w:numId w:val="186"/>
        </w:numPr>
        <w:tabs>
          <w:tab w:val="clear" w:pos="720"/>
          <w:tab w:val="num" w:pos="721"/>
        </w:tabs>
        <w:suppressAutoHyphens w:val="0"/>
        <w:ind w:left="721"/>
        <w:jc w:val="both"/>
      </w:pPr>
      <w:r>
        <w:rPr>
          <w:u w:val="single"/>
        </w:rPr>
        <w:t>1</w:t>
      </w:r>
      <w:r>
        <w:rPr>
          <w:u w:val="single"/>
          <w:vertAlign w:val="superscript"/>
        </w:rPr>
        <w:t>ère</w:t>
      </w:r>
      <w:r>
        <w:rPr>
          <w:u w:val="single"/>
        </w:rPr>
        <w:t xml:space="preserve"> situation où tous les attributs du code de nomenclature sont valides</w:t>
      </w:r>
      <w:r>
        <w:t> :</w:t>
      </w:r>
    </w:p>
    <w:p>
      <w:pPr>
        <w:pStyle w:val="ONPCorpsdetexte"/>
        <w:numPr>
          <w:ilvl w:val="1"/>
          <w:numId w:val="186"/>
        </w:numPr>
        <w:tabs>
          <w:tab w:val="clear" w:pos="1440"/>
          <w:tab w:val="num" w:pos="1441"/>
        </w:tabs>
        <w:suppressAutoHyphens w:val="0"/>
        <w:ind w:left="1441"/>
        <w:jc w:val="both"/>
      </w:pPr>
      <w:r>
        <w:t>Date de début de situation du code de nomenclature « ECHE1 » : 01/01/2012</w:t>
      </w:r>
    </w:p>
    <w:p>
      <w:pPr>
        <w:pStyle w:val="ONPCorpsdetexte"/>
        <w:numPr>
          <w:ilvl w:val="1"/>
          <w:numId w:val="186"/>
        </w:numPr>
        <w:tabs>
          <w:tab w:val="clear" w:pos="1440"/>
          <w:tab w:val="num" w:pos="1441"/>
        </w:tabs>
        <w:suppressAutoHyphens w:val="0"/>
        <w:ind w:left="1441"/>
        <w:jc w:val="both"/>
      </w:pPr>
      <w:r>
        <w:t>Date de fin de situation du code de nomenclature « ECHE1 » : 31/12/2012</w:t>
      </w:r>
    </w:p>
    <w:p>
      <w:pPr>
        <w:pStyle w:val="ONPCorpsdetexte"/>
        <w:numPr>
          <w:ilvl w:val="0"/>
          <w:numId w:val="186"/>
        </w:numPr>
        <w:tabs>
          <w:tab w:val="clear" w:pos="720"/>
          <w:tab w:val="num" w:pos="721"/>
        </w:tabs>
        <w:suppressAutoHyphens w:val="0"/>
        <w:ind w:left="721"/>
        <w:jc w:val="both"/>
      </w:pPr>
      <w:r>
        <w:rPr>
          <w:u w:val="single"/>
        </w:rPr>
        <w:t>2</w:t>
      </w:r>
      <w:r>
        <w:rPr>
          <w:u w:val="single"/>
          <w:vertAlign w:val="superscript"/>
        </w:rPr>
        <w:t>ème</w:t>
      </w:r>
      <w:r>
        <w:rPr>
          <w:u w:val="single"/>
        </w:rPr>
        <w:t xml:space="preserve"> situation où tous les attributs du code de nomenclature sont valides</w:t>
      </w:r>
      <w:r>
        <w:t> :</w:t>
      </w:r>
    </w:p>
    <w:p>
      <w:pPr>
        <w:pStyle w:val="ONPCorpsdetexte"/>
        <w:numPr>
          <w:ilvl w:val="1"/>
          <w:numId w:val="186"/>
        </w:numPr>
        <w:tabs>
          <w:tab w:val="clear" w:pos="1440"/>
          <w:tab w:val="num" w:pos="1441"/>
        </w:tabs>
        <w:suppressAutoHyphens w:val="0"/>
        <w:ind w:left="1441"/>
        <w:jc w:val="both"/>
      </w:pPr>
      <w:r>
        <w:t>Date de début de situation du code de nomenclature « ECHE1 » : 01/01/2013</w:t>
      </w:r>
    </w:p>
    <w:p>
      <w:pPr>
        <w:pStyle w:val="ONPCorpsdetexte"/>
        <w:numPr>
          <w:ilvl w:val="1"/>
          <w:numId w:val="186"/>
        </w:numPr>
        <w:tabs>
          <w:tab w:val="clear" w:pos="1440"/>
          <w:tab w:val="num" w:pos="1441"/>
        </w:tabs>
        <w:suppressAutoHyphens w:val="0"/>
        <w:ind w:left="1441"/>
        <w:jc w:val="both"/>
      </w:pPr>
      <w:r>
        <w:t>Date de fin de situation du code de nomenclature « ECHE1 » : 31/12/2013</w:t>
      </w:r>
    </w:p>
    <w:p>
      <w:pPr>
        <w:pStyle w:val="ONPCorpsdetexte"/>
        <w:ind w:left="1"/>
      </w:pPr>
      <w:r>
        <w:rPr>
          <w:noProof/>
          <w:lang w:eastAsia="fr-FR"/>
        </w:rPr>
        <w:drawing>
          <wp:inline distT="0" distB="0" distL="0" distR="0">
            <wp:extent cx="5772647" cy="3327797"/>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5507" cy="3329446"/>
                    </a:xfrm>
                    <a:prstGeom prst="rect">
                      <a:avLst/>
                    </a:prstGeom>
                    <a:noFill/>
                    <a:ln>
                      <a:noFill/>
                    </a:ln>
                  </pic:spPr>
                </pic:pic>
              </a:graphicData>
            </a:graphic>
          </wp:inline>
        </w:drawing>
      </w:r>
    </w:p>
    <w:p>
      <w:pPr>
        <w:pStyle w:val="ONPCorpsdetexte"/>
        <w:ind w:left="1"/>
        <w:rPr>
          <w:b/>
          <w:u w:val="single"/>
        </w:rPr>
      </w:pPr>
    </w:p>
    <w:p>
      <w:pPr>
        <w:pStyle w:val="ONPCorpsdetexte"/>
        <w:ind w:left="1"/>
        <w:jc w:val="both"/>
        <w:rPr>
          <w:b/>
          <w:u w:val="single"/>
        </w:rPr>
      </w:pPr>
      <w:r>
        <w:rPr>
          <w:b/>
          <w:u w:val="single"/>
        </w:rPr>
        <w:t>Point d’attention</w:t>
      </w:r>
    </w:p>
    <w:p>
      <w:pPr>
        <w:pStyle w:val="ONPCorpsdetexte"/>
        <w:ind w:left="1"/>
        <w:jc w:val="both"/>
      </w:pPr>
      <w:r>
        <w:t>Si un code de nomenclature dispose de plusieurs situations de nomenclatures, il est impératif que ces situations se succèdent de façon continue.</w:t>
      </w:r>
    </w:p>
    <w:p>
      <w:pPr>
        <w:pStyle w:val="ONPCorpsdetexte"/>
        <w:ind w:left="1"/>
        <w:jc w:val="both"/>
      </w:pPr>
      <w:r>
        <w:lastRenderedPageBreak/>
        <w:t>Cela signifie que la date de début d’une situation de nomenclature est égale au lendemain de la date de fin de la situation précédente.</w:t>
      </w:r>
    </w:p>
    <w:p>
      <w:pPr>
        <w:pStyle w:val="Titre4"/>
      </w:pPr>
      <w:bookmarkStart w:id="29" w:name="__RefHeading__1567_13782513621"/>
      <w:bookmarkStart w:id="30" w:name="__RefHeading__1569_13782513621"/>
      <w:bookmarkStart w:id="31" w:name="__RefHeading__19263_311501736"/>
      <w:bookmarkStart w:id="32" w:name="__RefHeading__18786_311501736"/>
      <w:bookmarkStart w:id="33" w:name="__RefHeading__19850_1827164272"/>
      <w:bookmarkStart w:id="34" w:name="__RefHeading__20259_1827164272"/>
      <w:bookmarkStart w:id="35" w:name="__RefHeading__20864_1827164272"/>
      <w:bookmarkStart w:id="36" w:name="__RefHeading__22725_1827164272"/>
      <w:bookmarkStart w:id="37" w:name="__RefHeading__23047_1827164272"/>
      <w:bookmarkStart w:id="38" w:name="__RefHeading__1573_13782513621"/>
      <w:bookmarkStart w:id="39" w:name="__RefHeading__1569_137825136212"/>
      <w:bookmarkStart w:id="40" w:name="__RefHeading__1569_137825136211"/>
      <w:bookmarkStart w:id="41" w:name="__RefHeading__19265_311501736"/>
      <w:bookmarkStart w:id="42" w:name="__RefHeading__18792_311501736"/>
      <w:bookmarkStart w:id="43" w:name="_Toc421282777"/>
      <w:bookmarkStart w:id="44" w:name="_Toc421282872"/>
      <w:bookmarkStart w:id="45" w:name="_Toc421290646"/>
      <w:bookmarkStart w:id="46" w:name="_Ref289854850"/>
      <w:bookmarkStart w:id="47" w:name="_Toc42048621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 xml:space="preserve"> Nomenclatures interdépendantes</w:t>
      </w:r>
    </w:p>
    <w:bookmarkEnd w:id="46"/>
    <w:bookmarkEnd w:id="47"/>
    <w:p>
      <w:pPr>
        <w:pStyle w:val="Titre5"/>
      </w:pPr>
      <w:r>
        <w:t>Description</w:t>
      </w:r>
    </w:p>
    <w:p>
      <w:pPr>
        <w:pStyle w:val="ONPCorpsdetexte"/>
        <w:ind w:left="1"/>
        <w:jc w:val="both"/>
      </w:pPr>
      <w:r>
        <w:t>Les nomenclatures interdépendantes présentent des liens prédéfinis entre elles.</w:t>
      </w:r>
    </w:p>
    <w:p>
      <w:pPr>
        <w:pStyle w:val="ONPCorpsdetexte"/>
        <w:ind w:left="1"/>
        <w:jc w:val="both"/>
      </w:pPr>
      <w:r>
        <w:t xml:space="preserve">Elles différent des  nomenclatures dites indépendantes qui ne présentent pas d’attribut de type lien et peuvent donc être gérées de manière autonome,  mises à jour indépendamment des autres nomenclatures. </w:t>
      </w:r>
    </w:p>
    <w:p>
      <w:pPr>
        <w:pStyle w:val="ONPPoint1"/>
        <w:numPr>
          <w:ilvl w:val="0"/>
          <w:numId w:val="0"/>
        </w:numPr>
        <w:tabs>
          <w:tab w:val="clear" w:pos="284"/>
          <w:tab w:val="left" w:pos="0"/>
        </w:tabs>
        <w:ind w:left="1"/>
        <w:jc w:val="both"/>
        <w:rPr>
          <w:b/>
        </w:rPr>
      </w:pPr>
      <w:r>
        <w:rPr>
          <w:b/>
        </w:rPr>
        <w:t xml:space="preserve">Exemples : </w:t>
      </w:r>
    </w:p>
    <w:p>
      <w:pPr>
        <w:pStyle w:val="ONPPoint1"/>
        <w:tabs>
          <w:tab w:val="clear" w:pos="0"/>
          <w:tab w:val="num" w:pos="-111"/>
        </w:tabs>
        <w:ind w:left="248"/>
        <w:jc w:val="both"/>
      </w:pPr>
      <w:r>
        <w:t>La nomenclature</w:t>
      </w:r>
      <w:r>
        <w:rPr>
          <w:u w:val="single"/>
        </w:rPr>
        <w:t xml:space="preserve"> </w:t>
      </w:r>
      <w:r>
        <w:t>des types de carrière (TYP_CARRIERE) est une nomenclature indépendante. Sa mise à jour est sans impact sur les autres nomenclatures.</w:t>
      </w:r>
    </w:p>
    <w:p>
      <w:pPr>
        <w:pStyle w:val="ONPCorpsdetexte"/>
        <w:numPr>
          <w:ilvl w:val="0"/>
          <w:numId w:val="33"/>
        </w:numPr>
        <w:tabs>
          <w:tab w:val="clear" w:pos="360"/>
          <w:tab w:val="num" w:pos="249"/>
        </w:tabs>
        <w:ind w:left="248"/>
        <w:jc w:val="both"/>
        <w:rPr>
          <w:u w:val="single"/>
        </w:rPr>
      </w:pPr>
      <w:r>
        <w:t>La nomenclature des grilles indiciaires (GRILLE_IND) est liée à celle des grades (GRADE). Si une  grille indiciaire est clôturée au 31/12/2010, les grades rattachés à cette grille indiciaire doivent être associés à une nouvelle grille à partir du 01/01/2011. Ces deux nomenclatures sont interdépendantes, les mises à jour qui sont apportées sur l’une et l’autre sont liées à une même version du Noyau RH FPE et ont vocation à être diffusées simultanément, au sein d'une même version de diffusion.</w:t>
      </w:r>
    </w:p>
    <w:p>
      <w:pPr>
        <w:pStyle w:val="Paragraphedeliste"/>
        <w:numPr>
          <w:ilvl w:val="0"/>
          <w:numId w:val="33"/>
        </w:numPr>
        <w:tabs>
          <w:tab w:val="clear" w:pos="360"/>
          <w:tab w:val="num" w:pos="285"/>
        </w:tabs>
        <w:ind w:left="285" w:hanging="284"/>
        <w:jc w:val="both"/>
      </w:pPr>
      <w:r>
        <w:t>Chronologie des étapes de mise à jour des nomenclatures liées « GRILLE_IND» et « ECHELON» suite à la clôture d’une grille indiciaire et au maintien de la validité d’un échelon rattaché initialement à cette grille indiciaire.</w:t>
      </w:r>
    </w:p>
    <w:p>
      <w:pPr>
        <w:pStyle w:val="Paragraphedeliste"/>
        <w:numPr>
          <w:ilvl w:val="1"/>
          <w:numId w:val="33"/>
        </w:numPr>
        <w:tabs>
          <w:tab w:val="clear" w:pos="1080"/>
          <w:tab w:val="num" w:pos="1081"/>
        </w:tabs>
        <w:ind w:left="1081"/>
        <w:jc w:val="both"/>
      </w:pPr>
      <w:r>
        <w:t>Etape 1 : Création du code de nomenclature « GRIL2 » au 01/01/2013</w:t>
      </w:r>
    </w:p>
    <w:p>
      <w:pPr>
        <w:pStyle w:val="Paragraphedeliste"/>
        <w:numPr>
          <w:ilvl w:val="1"/>
          <w:numId w:val="33"/>
        </w:numPr>
        <w:tabs>
          <w:tab w:val="clear" w:pos="1080"/>
          <w:tab w:val="num" w:pos="1081"/>
        </w:tabs>
        <w:ind w:left="1081"/>
        <w:jc w:val="both"/>
      </w:pPr>
      <w:r>
        <w:t>Etape 2 : Modification de l’attribut « identifiant grille indiciaire » du code de nomenclature « ECHE1 »Etape 3 : Clôture du code de la nomenclature « GRIL1 » au 31/12/2012</w:t>
      </w:r>
    </w:p>
    <w:p>
      <w:pPr>
        <w:pStyle w:val="Paragraphedeliste"/>
        <w:ind w:left="1081"/>
        <w:jc w:val="both"/>
      </w:pPr>
    </w:p>
    <w:p>
      <w:pPr>
        <w:pStyle w:val="ONPCorpsdetexte"/>
        <w:ind w:left="4" w:firstLine="423"/>
        <w:jc w:val="both"/>
        <w:rPr>
          <w:u w:val="single"/>
        </w:rPr>
      </w:pPr>
      <w:r>
        <w:rPr>
          <w:bCs/>
          <w:u w:val="single"/>
        </w:rPr>
        <w:t>Situation initiale :</w:t>
      </w:r>
    </w:p>
    <w:p>
      <w:pPr>
        <w:pStyle w:val="ONPCorpsdetexte"/>
        <w:numPr>
          <w:ilvl w:val="1"/>
          <w:numId w:val="37"/>
        </w:numPr>
        <w:tabs>
          <w:tab w:val="clear" w:pos="1440"/>
          <w:tab w:val="num" w:pos="1328"/>
        </w:tabs>
        <w:ind w:left="1328"/>
        <w:jc w:val="both"/>
      </w:pPr>
      <w:r>
        <w:t>Le code de nomenclature « </w:t>
      </w:r>
      <w:r>
        <w:rPr>
          <w:b/>
          <w:bCs/>
        </w:rPr>
        <w:t>GRIL1</w:t>
      </w:r>
      <w:r>
        <w:t> » du référentiel « </w:t>
      </w:r>
      <w:r>
        <w:rPr>
          <w:bCs/>
        </w:rPr>
        <w:t>GRILLE_IND</w:t>
      </w:r>
      <w:r>
        <w:t>» avec les attributs principaux suivants :</w:t>
      </w:r>
    </w:p>
    <w:p>
      <w:pPr>
        <w:pStyle w:val="ONPCorpsdetexte"/>
        <w:numPr>
          <w:ilvl w:val="2"/>
          <w:numId w:val="37"/>
        </w:numPr>
        <w:tabs>
          <w:tab w:val="clear" w:pos="2160"/>
          <w:tab w:val="num" w:pos="2048"/>
        </w:tabs>
        <w:ind w:left="2048"/>
        <w:jc w:val="both"/>
      </w:pPr>
      <w:r>
        <w:t>Identifiant : GRIL1</w:t>
      </w:r>
    </w:p>
    <w:p>
      <w:pPr>
        <w:pStyle w:val="ONPCorpsdetexte"/>
        <w:numPr>
          <w:ilvl w:val="2"/>
          <w:numId w:val="37"/>
        </w:numPr>
        <w:tabs>
          <w:tab w:val="clear" w:pos="2160"/>
          <w:tab w:val="num" w:pos="2048"/>
        </w:tabs>
        <w:ind w:left="2048"/>
        <w:jc w:val="both"/>
      </w:pPr>
      <w:r>
        <w:t>Date de début : 01/01/2012</w:t>
      </w:r>
    </w:p>
    <w:p>
      <w:pPr>
        <w:pStyle w:val="ONPCorpsdetexte"/>
        <w:numPr>
          <w:ilvl w:val="2"/>
          <w:numId w:val="37"/>
        </w:numPr>
        <w:tabs>
          <w:tab w:val="clear" w:pos="2160"/>
          <w:tab w:val="num" w:pos="2048"/>
        </w:tabs>
        <w:ind w:left="2048"/>
        <w:jc w:val="both"/>
      </w:pPr>
      <w:r>
        <w:t>Libellé long : Grille indiciaire 1</w:t>
      </w:r>
    </w:p>
    <w:p>
      <w:pPr>
        <w:pStyle w:val="ONPCorpsdetexte"/>
        <w:numPr>
          <w:ilvl w:val="1"/>
          <w:numId w:val="37"/>
        </w:numPr>
        <w:tabs>
          <w:tab w:val="clear" w:pos="1440"/>
          <w:tab w:val="num" w:pos="1328"/>
        </w:tabs>
        <w:ind w:left="1328"/>
        <w:jc w:val="both"/>
      </w:pPr>
      <w:r>
        <w:t>Le code de nomenclature « </w:t>
      </w:r>
      <w:r>
        <w:rPr>
          <w:b/>
          <w:bCs/>
        </w:rPr>
        <w:t>ECHE1</w:t>
      </w:r>
      <w:r>
        <w:t> » du référentiel « </w:t>
      </w:r>
      <w:r>
        <w:rPr>
          <w:bCs/>
        </w:rPr>
        <w:t>ECHELON</w:t>
      </w:r>
      <w:r>
        <w:t> » avec les attributs principaux suivants :</w:t>
      </w:r>
    </w:p>
    <w:p>
      <w:pPr>
        <w:pStyle w:val="ONPCorpsdetexte"/>
        <w:numPr>
          <w:ilvl w:val="2"/>
          <w:numId w:val="37"/>
        </w:numPr>
        <w:tabs>
          <w:tab w:val="clear" w:pos="2160"/>
          <w:tab w:val="num" w:pos="2048"/>
        </w:tabs>
        <w:ind w:left="2048"/>
        <w:jc w:val="both"/>
      </w:pPr>
      <w:r>
        <w:t>Identifiant : ECHE1</w:t>
      </w:r>
    </w:p>
    <w:p>
      <w:pPr>
        <w:pStyle w:val="ONPCorpsdetexte"/>
        <w:numPr>
          <w:ilvl w:val="2"/>
          <w:numId w:val="37"/>
        </w:numPr>
        <w:tabs>
          <w:tab w:val="clear" w:pos="2160"/>
          <w:tab w:val="num" w:pos="2048"/>
        </w:tabs>
        <w:ind w:left="2048"/>
        <w:jc w:val="both"/>
      </w:pPr>
      <w:r>
        <w:t>Date de début : 01/01/2012</w:t>
      </w:r>
    </w:p>
    <w:p>
      <w:pPr>
        <w:pStyle w:val="ONPCorpsdetexte"/>
        <w:numPr>
          <w:ilvl w:val="2"/>
          <w:numId w:val="37"/>
        </w:numPr>
        <w:tabs>
          <w:tab w:val="clear" w:pos="2160"/>
          <w:tab w:val="num" w:pos="2048"/>
        </w:tabs>
        <w:ind w:left="2048"/>
        <w:jc w:val="both"/>
      </w:pPr>
      <w:r>
        <w:t>Libellé long : Echelon 1</w:t>
      </w:r>
    </w:p>
    <w:p>
      <w:pPr>
        <w:pStyle w:val="ONPCorpsdetexte"/>
        <w:numPr>
          <w:ilvl w:val="2"/>
          <w:numId w:val="37"/>
        </w:numPr>
        <w:tabs>
          <w:tab w:val="clear" w:pos="2160"/>
          <w:tab w:val="num" w:pos="2048"/>
        </w:tabs>
        <w:ind w:left="2048"/>
        <w:jc w:val="both"/>
      </w:pPr>
      <w:r>
        <w:lastRenderedPageBreak/>
        <w:t>Echelon provisoire : 0</w:t>
      </w:r>
    </w:p>
    <w:p>
      <w:pPr>
        <w:pStyle w:val="ONPCorpsdetexte"/>
        <w:numPr>
          <w:ilvl w:val="2"/>
          <w:numId w:val="37"/>
        </w:numPr>
        <w:tabs>
          <w:tab w:val="clear" w:pos="2160"/>
          <w:tab w:val="num" w:pos="2048"/>
        </w:tabs>
        <w:ind w:left="2048"/>
        <w:jc w:val="both"/>
        <w:rPr>
          <w:b/>
          <w:bCs/>
        </w:rPr>
      </w:pPr>
      <w:r>
        <w:t>Identifiant grille indiciaire : GRIL1</w:t>
      </w:r>
    </w:p>
    <w:p>
      <w:pPr>
        <w:pStyle w:val="ONPCorpsdetexte"/>
        <w:ind w:left="4" w:firstLine="423"/>
        <w:jc w:val="both"/>
        <w:rPr>
          <w:bCs/>
          <w:u w:val="single"/>
        </w:rPr>
      </w:pPr>
      <w:r>
        <w:rPr>
          <w:bCs/>
          <w:u w:val="single"/>
        </w:rPr>
        <w:t xml:space="preserve">Situation finale : </w:t>
      </w:r>
    </w:p>
    <w:p>
      <w:pPr>
        <w:pStyle w:val="ONPCorpsdetexte"/>
        <w:numPr>
          <w:ilvl w:val="1"/>
          <w:numId w:val="37"/>
        </w:numPr>
        <w:tabs>
          <w:tab w:val="clear" w:pos="1440"/>
          <w:tab w:val="num" w:pos="1328"/>
        </w:tabs>
        <w:ind w:left="1328"/>
        <w:jc w:val="both"/>
      </w:pPr>
      <w:r>
        <w:t>Le code de nomenclature « </w:t>
      </w:r>
      <w:r>
        <w:rPr>
          <w:b/>
          <w:bCs/>
        </w:rPr>
        <w:t>GRIL1</w:t>
      </w:r>
      <w:r>
        <w:t> » du référentiel « </w:t>
      </w:r>
      <w:r>
        <w:rPr>
          <w:bCs/>
        </w:rPr>
        <w:t>GRILLE_IND</w:t>
      </w:r>
      <w:r>
        <w:t> » avec les attributs principaux suivants :</w:t>
      </w:r>
    </w:p>
    <w:p>
      <w:pPr>
        <w:pStyle w:val="ONPCorpsdetexte"/>
        <w:numPr>
          <w:ilvl w:val="2"/>
          <w:numId w:val="37"/>
        </w:numPr>
        <w:tabs>
          <w:tab w:val="clear" w:pos="2160"/>
          <w:tab w:val="num" w:pos="2048"/>
        </w:tabs>
        <w:ind w:left="2048"/>
        <w:jc w:val="both"/>
      </w:pPr>
      <w:r>
        <w:t>Identifiant : GRIL1</w:t>
      </w:r>
    </w:p>
    <w:p>
      <w:pPr>
        <w:pStyle w:val="ONPCorpsdetexte"/>
        <w:numPr>
          <w:ilvl w:val="2"/>
          <w:numId w:val="37"/>
        </w:numPr>
        <w:tabs>
          <w:tab w:val="clear" w:pos="2160"/>
          <w:tab w:val="num" w:pos="2048"/>
        </w:tabs>
        <w:ind w:left="2048"/>
        <w:jc w:val="both"/>
      </w:pPr>
      <w:r>
        <w:t>Date de début : 01/01/2012</w:t>
      </w:r>
    </w:p>
    <w:p>
      <w:pPr>
        <w:pStyle w:val="ONPCorpsdetexte"/>
        <w:numPr>
          <w:ilvl w:val="2"/>
          <w:numId w:val="37"/>
        </w:numPr>
        <w:tabs>
          <w:tab w:val="clear" w:pos="2160"/>
          <w:tab w:val="num" w:pos="2048"/>
        </w:tabs>
        <w:ind w:left="2048"/>
        <w:jc w:val="both"/>
      </w:pPr>
      <w:r>
        <w:t>Date de fin : 31/12/2012</w:t>
      </w:r>
    </w:p>
    <w:p>
      <w:pPr>
        <w:pStyle w:val="ONPCorpsdetexte"/>
        <w:numPr>
          <w:ilvl w:val="2"/>
          <w:numId w:val="37"/>
        </w:numPr>
        <w:tabs>
          <w:tab w:val="clear" w:pos="2160"/>
          <w:tab w:val="num" w:pos="2048"/>
        </w:tabs>
        <w:ind w:left="2048"/>
        <w:jc w:val="both"/>
      </w:pPr>
      <w:r>
        <w:t>Libellé long : Grille indiciaire 1</w:t>
      </w:r>
    </w:p>
    <w:p>
      <w:pPr>
        <w:pStyle w:val="ONPCorpsdetexte"/>
        <w:numPr>
          <w:ilvl w:val="1"/>
          <w:numId w:val="37"/>
        </w:numPr>
        <w:tabs>
          <w:tab w:val="clear" w:pos="1440"/>
          <w:tab w:val="num" w:pos="1328"/>
        </w:tabs>
        <w:ind w:left="1328"/>
        <w:jc w:val="both"/>
      </w:pPr>
      <w:r>
        <w:t>Le code de nomenclature « </w:t>
      </w:r>
      <w:r>
        <w:rPr>
          <w:b/>
          <w:bCs/>
        </w:rPr>
        <w:t>GRIL2</w:t>
      </w:r>
      <w:r>
        <w:t> » du référentiel « </w:t>
      </w:r>
      <w:r>
        <w:rPr>
          <w:bCs/>
        </w:rPr>
        <w:t>GRILLE_IND</w:t>
      </w:r>
      <w:r>
        <w:t> » avec les attributs principaux suivants :</w:t>
      </w:r>
    </w:p>
    <w:p>
      <w:pPr>
        <w:pStyle w:val="ONPCorpsdetexte"/>
        <w:numPr>
          <w:ilvl w:val="2"/>
          <w:numId w:val="37"/>
        </w:numPr>
        <w:tabs>
          <w:tab w:val="clear" w:pos="2160"/>
          <w:tab w:val="num" w:pos="2048"/>
        </w:tabs>
        <w:ind w:left="2048"/>
        <w:jc w:val="both"/>
      </w:pPr>
      <w:r>
        <w:t>Identifiant : GRIL2</w:t>
      </w:r>
    </w:p>
    <w:p>
      <w:pPr>
        <w:pStyle w:val="ONPCorpsdetexte"/>
        <w:numPr>
          <w:ilvl w:val="2"/>
          <w:numId w:val="37"/>
        </w:numPr>
        <w:tabs>
          <w:tab w:val="clear" w:pos="2160"/>
          <w:tab w:val="num" w:pos="2048"/>
        </w:tabs>
        <w:ind w:left="2048"/>
        <w:jc w:val="both"/>
      </w:pPr>
      <w:r>
        <w:t>Date de début : 01/01/2013</w:t>
      </w:r>
    </w:p>
    <w:p>
      <w:pPr>
        <w:pStyle w:val="ONPCorpsdetexte"/>
        <w:numPr>
          <w:ilvl w:val="2"/>
          <w:numId w:val="37"/>
        </w:numPr>
        <w:tabs>
          <w:tab w:val="clear" w:pos="2160"/>
          <w:tab w:val="num" w:pos="2048"/>
        </w:tabs>
        <w:ind w:left="2048"/>
        <w:jc w:val="both"/>
      </w:pPr>
      <w:r>
        <w:t>Libellé long : Grille indiciaire 2</w:t>
      </w:r>
    </w:p>
    <w:p>
      <w:pPr>
        <w:pStyle w:val="ONPCorpsdetexte"/>
        <w:numPr>
          <w:ilvl w:val="1"/>
          <w:numId w:val="37"/>
        </w:numPr>
        <w:tabs>
          <w:tab w:val="clear" w:pos="1440"/>
          <w:tab w:val="num" w:pos="1328"/>
        </w:tabs>
        <w:ind w:left="1328"/>
        <w:jc w:val="both"/>
      </w:pPr>
      <w:r>
        <w:t>Le code de nomenclature « </w:t>
      </w:r>
      <w:r>
        <w:rPr>
          <w:b/>
          <w:bCs/>
        </w:rPr>
        <w:t>ECHE1</w:t>
      </w:r>
      <w:r>
        <w:t> » du référentiel « </w:t>
      </w:r>
      <w:r>
        <w:rPr>
          <w:bCs/>
        </w:rPr>
        <w:t>ECHELON</w:t>
      </w:r>
      <w:r>
        <w:t> » avec les attributs principaux suivants :</w:t>
      </w:r>
    </w:p>
    <w:p>
      <w:pPr>
        <w:pStyle w:val="ONPCorpsdetexte"/>
        <w:numPr>
          <w:ilvl w:val="2"/>
          <w:numId w:val="37"/>
        </w:numPr>
        <w:tabs>
          <w:tab w:val="clear" w:pos="2160"/>
          <w:tab w:val="num" w:pos="2048"/>
        </w:tabs>
        <w:ind w:left="2048"/>
        <w:jc w:val="both"/>
      </w:pPr>
      <w:r>
        <w:t>Situation des attributs n°1</w:t>
      </w:r>
    </w:p>
    <w:p>
      <w:pPr>
        <w:pStyle w:val="ONPCorpsdetexte"/>
        <w:numPr>
          <w:ilvl w:val="3"/>
          <w:numId w:val="37"/>
        </w:numPr>
        <w:tabs>
          <w:tab w:val="clear" w:pos="2880"/>
          <w:tab w:val="num" w:pos="2768"/>
        </w:tabs>
        <w:ind w:left="2768"/>
        <w:jc w:val="both"/>
      </w:pPr>
      <w:r>
        <w:t>Identifiant : ECHE1</w:t>
      </w:r>
    </w:p>
    <w:p>
      <w:pPr>
        <w:pStyle w:val="ONPCorpsdetexte"/>
        <w:numPr>
          <w:ilvl w:val="3"/>
          <w:numId w:val="37"/>
        </w:numPr>
        <w:tabs>
          <w:tab w:val="clear" w:pos="2880"/>
          <w:tab w:val="num" w:pos="2768"/>
        </w:tabs>
        <w:ind w:left="2768"/>
        <w:jc w:val="both"/>
      </w:pPr>
      <w:r>
        <w:t>Libellé long : Echelon 1</w:t>
      </w:r>
    </w:p>
    <w:p>
      <w:pPr>
        <w:pStyle w:val="ONPCorpsdetexte"/>
        <w:numPr>
          <w:ilvl w:val="3"/>
          <w:numId w:val="37"/>
        </w:numPr>
        <w:tabs>
          <w:tab w:val="clear" w:pos="2880"/>
          <w:tab w:val="num" w:pos="2768"/>
        </w:tabs>
        <w:ind w:left="2768"/>
        <w:jc w:val="both"/>
      </w:pPr>
      <w:r>
        <w:t>Echelon provisoire : 0</w:t>
      </w:r>
    </w:p>
    <w:p>
      <w:pPr>
        <w:pStyle w:val="ONPCorpsdetexte"/>
        <w:numPr>
          <w:ilvl w:val="3"/>
          <w:numId w:val="37"/>
        </w:numPr>
        <w:tabs>
          <w:tab w:val="clear" w:pos="2880"/>
          <w:tab w:val="num" w:pos="2768"/>
        </w:tabs>
        <w:ind w:left="2768"/>
        <w:jc w:val="both"/>
      </w:pPr>
      <w:r>
        <w:t>Identifiant grille indiciaire : GRIL1</w:t>
      </w:r>
    </w:p>
    <w:p>
      <w:pPr>
        <w:pStyle w:val="ONPCorpsdetexte"/>
        <w:numPr>
          <w:ilvl w:val="3"/>
          <w:numId w:val="37"/>
        </w:numPr>
        <w:tabs>
          <w:tab w:val="clear" w:pos="2880"/>
          <w:tab w:val="num" w:pos="2768"/>
        </w:tabs>
        <w:ind w:left="2768"/>
        <w:jc w:val="both"/>
      </w:pPr>
      <w:r>
        <w:t>Date de début : 01/01/2012</w:t>
      </w:r>
    </w:p>
    <w:p>
      <w:pPr>
        <w:pStyle w:val="ONPCorpsdetexte"/>
        <w:numPr>
          <w:ilvl w:val="3"/>
          <w:numId w:val="37"/>
        </w:numPr>
        <w:tabs>
          <w:tab w:val="clear" w:pos="2880"/>
          <w:tab w:val="num" w:pos="2768"/>
        </w:tabs>
        <w:ind w:left="2768"/>
        <w:jc w:val="both"/>
      </w:pPr>
      <w:r>
        <w:t>Date de fin : 31/12/2012</w:t>
      </w:r>
    </w:p>
    <w:p>
      <w:pPr>
        <w:pStyle w:val="ONPCorpsdetexte"/>
        <w:numPr>
          <w:ilvl w:val="2"/>
          <w:numId w:val="37"/>
        </w:numPr>
        <w:tabs>
          <w:tab w:val="clear" w:pos="2160"/>
          <w:tab w:val="num" w:pos="2048"/>
        </w:tabs>
        <w:ind w:left="2048"/>
        <w:jc w:val="both"/>
      </w:pPr>
      <w:r>
        <w:t>Situation des attributs n°2</w:t>
      </w:r>
    </w:p>
    <w:p>
      <w:pPr>
        <w:pStyle w:val="ONPCorpsdetexte"/>
        <w:numPr>
          <w:ilvl w:val="3"/>
          <w:numId w:val="37"/>
        </w:numPr>
        <w:tabs>
          <w:tab w:val="clear" w:pos="2880"/>
          <w:tab w:val="num" w:pos="2768"/>
        </w:tabs>
        <w:ind w:left="2768"/>
        <w:jc w:val="both"/>
      </w:pPr>
      <w:r>
        <w:t>Identifiant : ECHE1</w:t>
      </w:r>
    </w:p>
    <w:p>
      <w:pPr>
        <w:pStyle w:val="ONPCorpsdetexte"/>
        <w:numPr>
          <w:ilvl w:val="3"/>
          <w:numId w:val="37"/>
        </w:numPr>
        <w:tabs>
          <w:tab w:val="clear" w:pos="2880"/>
          <w:tab w:val="num" w:pos="2768"/>
        </w:tabs>
        <w:ind w:left="2768"/>
        <w:jc w:val="both"/>
      </w:pPr>
      <w:r>
        <w:t>Libellé long : Echelon 1</w:t>
      </w:r>
    </w:p>
    <w:p>
      <w:pPr>
        <w:pStyle w:val="ONPCorpsdetexte"/>
        <w:numPr>
          <w:ilvl w:val="3"/>
          <w:numId w:val="37"/>
        </w:numPr>
        <w:tabs>
          <w:tab w:val="clear" w:pos="2880"/>
          <w:tab w:val="num" w:pos="2768"/>
        </w:tabs>
        <w:ind w:left="2768"/>
        <w:jc w:val="both"/>
      </w:pPr>
      <w:r>
        <w:t>Echelon provisoire : 0</w:t>
      </w:r>
    </w:p>
    <w:p>
      <w:pPr>
        <w:pStyle w:val="ONPCorpsdetexte"/>
        <w:numPr>
          <w:ilvl w:val="3"/>
          <w:numId w:val="37"/>
        </w:numPr>
        <w:tabs>
          <w:tab w:val="clear" w:pos="2880"/>
          <w:tab w:val="num" w:pos="2768"/>
        </w:tabs>
        <w:ind w:left="2768"/>
        <w:jc w:val="both"/>
      </w:pPr>
      <w:r>
        <w:t>Identifiant grille indiciaire : GRIL2</w:t>
      </w:r>
    </w:p>
    <w:p>
      <w:pPr>
        <w:pStyle w:val="ONPCorpsdetexte"/>
        <w:numPr>
          <w:ilvl w:val="3"/>
          <w:numId w:val="37"/>
        </w:numPr>
        <w:tabs>
          <w:tab w:val="clear" w:pos="2880"/>
          <w:tab w:val="num" w:pos="2768"/>
        </w:tabs>
        <w:ind w:left="2768"/>
        <w:jc w:val="both"/>
      </w:pPr>
      <w:r>
        <w:t>Date de début : 01/01/2013</w:t>
      </w:r>
    </w:p>
    <w:p>
      <w:pPr>
        <w:jc w:val="both"/>
        <w:rPr>
          <w:b/>
        </w:rPr>
      </w:pPr>
    </w:p>
    <w:p>
      <w:pPr>
        <w:jc w:val="both"/>
        <w:rPr>
          <w:b/>
          <w:u w:val="single"/>
        </w:rPr>
      </w:pPr>
      <w:r>
        <w:rPr>
          <w:b/>
          <w:u w:val="single"/>
        </w:rPr>
        <w:t>Point d’attention</w:t>
      </w:r>
    </w:p>
    <w:p>
      <w:pPr>
        <w:pStyle w:val="ONPCorpsdetexte"/>
        <w:ind w:left="1"/>
        <w:jc w:val="both"/>
      </w:pPr>
      <w:r>
        <w:t xml:space="preserve">Lorsqu’un lien pointe vers une nomenclature historique, il est systématiquement associé à la première situation de cette nomenclature, situation dont la date de début de validité correspond à la date de début de validité du code. </w:t>
      </w:r>
    </w:p>
    <w:p>
      <w:pPr>
        <w:ind w:left="1"/>
        <w:jc w:val="both"/>
        <w:rPr>
          <w:szCs w:val="24"/>
          <w:lang w:eastAsia="fr-FR"/>
        </w:rPr>
      </w:pPr>
      <w:r>
        <w:rPr>
          <w:b/>
          <w:szCs w:val="24"/>
          <w:lang w:eastAsia="fr-FR"/>
        </w:rPr>
        <w:lastRenderedPageBreak/>
        <w:t>Exemple </w:t>
      </w:r>
      <w:r>
        <w:rPr>
          <w:szCs w:val="24"/>
          <w:lang w:eastAsia="fr-FR"/>
        </w:rPr>
        <w:t xml:space="preserve">: </w:t>
      </w:r>
    </w:p>
    <w:p>
      <w:pPr>
        <w:ind w:left="1"/>
        <w:jc w:val="both"/>
        <w:rPr>
          <w:szCs w:val="24"/>
          <w:lang w:eastAsia="fr-FR"/>
        </w:rPr>
      </w:pPr>
      <w:r>
        <w:rPr>
          <w:szCs w:val="24"/>
          <w:lang w:eastAsia="fr-FR"/>
        </w:rPr>
        <w:t xml:space="preserve">La nomenclature GRADE est liée à la nomenclature CORPS, nomenclature historique car présentant un attribut de nature 2 (R_REL_SSCATE). </w:t>
      </w:r>
    </w:p>
    <w:p>
      <w:pPr>
        <w:ind w:left="1"/>
        <w:jc w:val="both"/>
        <w:rPr>
          <w:szCs w:val="24"/>
          <w:lang w:eastAsia="fr-FR"/>
        </w:rPr>
      </w:pPr>
      <w:r>
        <w:rPr>
          <w:szCs w:val="24"/>
          <w:lang w:eastAsia="fr-FR"/>
        </w:rPr>
        <w:t xml:space="preserve">Supposons que le corps 117 ait changé de sous-catégorie à compter du 01/06/2011 </w:t>
      </w:r>
    </w:p>
    <w:tbl>
      <w:tblPr>
        <w:tblW w:w="8946" w:type="dxa"/>
        <w:tblInd w:w="55" w:type="dxa"/>
        <w:tblLayout w:type="fixed"/>
        <w:tblCellMar>
          <w:left w:w="70" w:type="dxa"/>
          <w:right w:w="70" w:type="dxa"/>
        </w:tblCellMar>
        <w:tblLook w:val="04A0" w:firstRow="1" w:lastRow="0" w:firstColumn="1" w:lastColumn="0" w:noHBand="0" w:noVBand="1"/>
      </w:tblPr>
      <w:tblGrid>
        <w:gridCol w:w="727"/>
        <w:gridCol w:w="480"/>
        <w:gridCol w:w="1218"/>
        <w:gridCol w:w="1843"/>
        <w:gridCol w:w="851"/>
        <w:gridCol w:w="1276"/>
        <w:gridCol w:w="1275"/>
        <w:gridCol w:w="1276"/>
      </w:tblGrid>
      <w:tr>
        <w:trPr>
          <w:trHeight w:val="450"/>
        </w:trPr>
        <w:tc>
          <w:tcPr>
            <w:tcW w:w="7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4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2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84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R_REL_CATEGO</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R_REL_SSCATE</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ind w:left="-70" w:firstLine="70"/>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7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480" w:type="dxa"/>
            <w:tcBorders>
              <w:top w:val="nil"/>
              <w:left w:val="nil"/>
              <w:bottom w:val="single" w:sz="4" w:space="0" w:color="auto"/>
              <w:right w:val="single" w:sz="4" w:space="0" w:color="auto"/>
            </w:tcBorders>
            <w:shd w:val="clear" w:color="auto" w:fill="FFFFFF" w:themeFill="background1"/>
            <w:noWrap/>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M</w:t>
            </w:r>
          </w:p>
        </w:tc>
        <w:tc>
          <w:tcPr>
            <w:tcW w:w="1218" w:type="dxa"/>
            <w:tcBorders>
              <w:top w:val="nil"/>
              <w:left w:val="nil"/>
              <w:bottom w:val="single" w:sz="4" w:space="0" w:color="auto"/>
              <w:right w:val="single" w:sz="4" w:space="0" w:color="auto"/>
            </w:tcBorders>
            <w:shd w:val="clear" w:color="auto" w:fill="FFFFFF" w:themeFill="background1"/>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117</w:t>
            </w:r>
          </w:p>
        </w:tc>
        <w:tc>
          <w:tcPr>
            <w:tcW w:w="1843" w:type="dxa"/>
            <w:tcBorders>
              <w:top w:val="nil"/>
              <w:left w:val="nil"/>
              <w:bottom w:val="single" w:sz="4" w:space="0" w:color="auto"/>
              <w:right w:val="single" w:sz="4" w:space="0" w:color="auto"/>
            </w:tcBorders>
            <w:shd w:val="clear" w:color="auto" w:fill="FFFFFF" w:themeFill="background1"/>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rPr>
              <w:t>ATTACHE ADM RECH IFREMER</w:t>
            </w:r>
          </w:p>
        </w:tc>
        <w:tc>
          <w:tcPr>
            <w:tcW w:w="851" w:type="dxa"/>
            <w:tcBorders>
              <w:top w:val="nil"/>
              <w:left w:val="nil"/>
              <w:bottom w:val="single" w:sz="4" w:space="0" w:color="auto"/>
              <w:right w:val="single" w:sz="4" w:space="0" w:color="auto"/>
            </w:tcBorders>
            <w:shd w:val="clear" w:color="auto" w:fill="FFFFFF" w:themeFill="background1"/>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1</w:t>
            </w:r>
          </w:p>
        </w:tc>
        <w:tc>
          <w:tcPr>
            <w:tcW w:w="1276"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p>
        </w:tc>
        <w:tc>
          <w:tcPr>
            <w:tcW w:w="1275"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01/01/1984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uppressAutoHyphens w:val="0"/>
              <w:spacing w:before="0" w:after="0" w:line="240" w:lineRule="auto"/>
              <w:ind w:left="-70" w:firstLine="70"/>
              <w:rPr>
                <w:rFonts w:ascii="Arial" w:hAnsi="Arial" w:cs="Arial"/>
                <w:sz w:val="14"/>
                <w:szCs w:val="14"/>
                <w:lang w:eastAsia="fr-FR"/>
              </w:rPr>
            </w:pPr>
            <w:r>
              <w:rPr>
                <w:rFonts w:ascii="Arial" w:hAnsi="Arial" w:cs="Arial"/>
                <w:sz w:val="14"/>
                <w:szCs w:val="14"/>
                <w:lang w:eastAsia="fr-FR"/>
              </w:rPr>
              <w:t> </w:t>
            </w:r>
            <w:r>
              <w:rPr>
                <w:sz w:val="14"/>
                <w:szCs w:val="14"/>
              </w:rPr>
              <w:t>31/05/2011</w:t>
            </w:r>
          </w:p>
        </w:tc>
      </w:tr>
      <w:tr>
        <w:trPr>
          <w:trHeight w:val="826"/>
        </w:trPr>
        <w:tc>
          <w:tcPr>
            <w:tcW w:w="727" w:type="dxa"/>
            <w:tcBorders>
              <w:top w:val="nil"/>
              <w:left w:val="single" w:sz="4" w:space="0" w:color="auto"/>
              <w:bottom w:val="single" w:sz="4" w:space="0" w:color="auto"/>
              <w:right w:val="single" w:sz="4" w:space="0" w:color="auto"/>
            </w:tcBorders>
            <w:shd w:val="clear" w:color="auto" w:fill="FFFFFF" w:themeFill="background1"/>
            <w:noWrap/>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480" w:type="dxa"/>
            <w:tcBorders>
              <w:top w:val="nil"/>
              <w:left w:val="nil"/>
              <w:bottom w:val="single" w:sz="4" w:space="0" w:color="auto"/>
              <w:right w:val="single" w:sz="4" w:space="0" w:color="auto"/>
            </w:tcBorders>
            <w:shd w:val="clear" w:color="auto" w:fill="FFFFFF" w:themeFill="background1"/>
            <w:noWrap/>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w:t>
            </w:r>
          </w:p>
        </w:tc>
        <w:tc>
          <w:tcPr>
            <w:tcW w:w="1218"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117</w:t>
            </w:r>
          </w:p>
        </w:tc>
        <w:tc>
          <w:tcPr>
            <w:tcW w:w="1843"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rPr>
              <w:t>ATTACHE ADM RECH IFREMER</w:t>
            </w:r>
          </w:p>
        </w:tc>
        <w:tc>
          <w:tcPr>
            <w:tcW w:w="851"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1</w:t>
            </w:r>
          </w:p>
        </w:tc>
        <w:tc>
          <w:tcPr>
            <w:tcW w:w="1276"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sz w:val="14"/>
                <w:szCs w:val="14"/>
              </w:rPr>
              <w:t>1</w:t>
            </w:r>
          </w:p>
        </w:tc>
        <w:tc>
          <w:tcPr>
            <w:tcW w:w="1275"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01/06/2011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uppressAutoHyphens w:val="0"/>
              <w:spacing w:before="0" w:after="0" w:line="240" w:lineRule="auto"/>
              <w:ind w:left="-70" w:firstLine="70"/>
              <w:rPr>
                <w:rFonts w:ascii="Arial" w:hAnsi="Arial" w:cs="Arial"/>
                <w:sz w:val="14"/>
                <w:szCs w:val="14"/>
                <w:lang w:eastAsia="fr-FR"/>
              </w:rPr>
            </w:pPr>
          </w:p>
        </w:tc>
      </w:tr>
    </w:tbl>
    <w:p>
      <w:pPr>
        <w:ind w:left="1"/>
        <w:rPr>
          <w:szCs w:val="24"/>
          <w:lang w:eastAsia="fr-FR"/>
        </w:rPr>
      </w:pPr>
    </w:p>
    <w:p>
      <w:pPr>
        <w:keepNext/>
        <w:ind w:left="1"/>
        <w:jc w:val="both"/>
        <w:rPr>
          <w:szCs w:val="24"/>
          <w:lang w:eastAsia="fr-FR"/>
        </w:rPr>
      </w:pPr>
      <w:r>
        <w:rPr>
          <w:szCs w:val="24"/>
          <w:lang w:eastAsia="fr-FR"/>
        </w:rPr>
        <w:t>Toutes les situations de la nomenclature GRADE pointent sur la 1</w:t>
      </w:r>
      <w:r>
        <w:rPr>
          <w:szCs w:val="24"/>
          <w:vertAlign w:val="superscript"/>
          <w:lang w:eastAsia="fr-FR"/>
        </w:rPr>
        <w:t>ère</w:t>
      </w:r>
      <w:r>
        <w:rPr>
          <w:szCs w:val="24"/>
          <w:lang w:eastAsia="fr-FR"/>
        </w:rPr>
        <w:t xml:space="preserve"> occurrence du corps.  </w:t>
      </w:r>
    </w:p>
    <w:tbl>
      <w:tblPr>
        <w:tblW w:w="8946" w:type="dxa"/>
        <w:tblInd w:w="55" w:type="dxa"/>
        <w:tblLayout w:type="fixed"/>
        <w:tblCellMar>
          <w:left w:w="70" w:type="dxa"/>
          <w:right w:w="70" w:type="dxa"/>
        </w:tblCellMar>
        <w:tblLook w:val="04A0" w:firstRow="1" w:lastRow="0" w:firstColumn="1" w:lastColumn="0" w:noHBand="0" w:noVBand="1"/>
      </w:tblPr>
      <w:tblGrid>
        <w:gridCol w:w="727"/>
        <w:gridCol w:w="480"/>
        <w:gridCol w:w="1218"/>
        <w:gridCol w:w="1843"/>
        <w:gridCol w:w="851"/>
        <w:gridCol w:w="1276"/>
        <w:gridCol w:w="1275"/>
        <w:gridCol w:w="1276"/>
      </w:tblGrid>
      <w:tr>
        <w:trPr>
          <w:trHeight w:val="450"/>
        </w:trPr>
        <w:tc>
          <w:tcPr>
            <w:tcW w:w="7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4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2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84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R_REL_CORPS</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R_REL_GRIIND</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tcPr>
          <w:p>
            <w:pPr>
              <w:keepNext/>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ind w:left="-70" w:firstLine="70"/>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7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480" w:type="dxa"/>
            <w:tcBorders>
              <w:top w:val="nil"/>
              <w:left w:val="nil"/>
              <w:bottom w:val="single" w:sz="4" w:space="0" w:color="auto"/>
              <w:right w:val="single" w:sz="4" w:space="0" w:color="auto"/>
            </w:tcBorders>
            <w:shd w:val="clear" w:color="auto" w:fill="FFFFFF" w:themeFill="background1"/>
            <w:noWrap/>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M</w:t>
            </w:r>
          </w:p>
        </w:tc>
        <w:tc>
          <w:tcPr>
            <w:tcW w:w="1218" w:type="dxa"/>
            <w:tcBorders>
              <w:top w:val="nil"/>
              <w:left w:val="nil"/>
              <w:bottom w:val="single" w:sz="4" w:space="0" w:color="auto"/>
              <w:right w:val="single" w:sz="4" w:space="0" w:color="auto"/>
            </w:tcBorders>
            <w:shd w:val="clear" w:color="auto" w:fill="FFFFFF" w:themeFill="background1"/>
            <w:vAlign w:val="center"/>
            <w:hideMark/>
          </w:tcPr>
          <w:p>
            <w:pPr>
              <w:keepNext/>
              <w:rPr>
                <w:rFonts w:ascii="Arial" w:hAnsi="Arial" w:cs="Arial"/>
                <w:color w:val="9C0006"/>
                <w:sz w:val="14"/>
                <w:szCs w:val="14"/>
              </w:rPr>
            </w:pPr>
            <w:r>
              <w:rPr>
                <w:rFonts w:ascii="Arial" w:hAnsi="Arial" w:cs="Arial"/>
                <w:color w:val="9C0006"/>
                <w:sz w:val="14"/>
                <w:szCs w:val="14"/>
              </w:rPr>
              <w:t>259</w:t>
            </w:r>
          </w:p>
          <w:p>
            <w:pPr>
              <w:keepNext/>
              <w:suppressAutoHyphens w:val="0"/>
              <w:spacing w:before="0" w:after="0" w:line="240" w:lineRule="auto"/>
              <w:rPr>
                <w:rFonts w:ascii="Arial" w:hAnsi="Arial" w:cs="Arial"/>
                <w:sz w:val="14"/>
                <w:szCs w:val="14"/>
                <w:lang w:eastAsia="fr-FR"/>
              </w:rPr>
            </w:pPr>
          </w:p>
        </w:tc>
        <w:tc>
          <w:tcPr>
            <w:tcW w:w="1843" w:type="dxa"/>
            <w:tcBorders>
              <w:top w:val="nil"/>
              <w:left w:val="nil"/>
              <w:bottom w:val="single" w:sz="4" w:space="0" w:color="auto"/>
              <w:right w:val="single" w:sz="4" w:space="0" w:color="auto"/>
            </w:tcBorders>
            <w:shd w:val="clear" w:color="auto" w:fill="FFFFFF" w:themeFill="background1"/>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rPr>
              <w:t>SECR.ADM. AFF SOCIALES DE CLASSE EX</w:t>
            </w:r>
          </w:p>
        </w:tc>
        <w:tc>
          <w:tcPr>
            <w:tcW w:w="851" w:type="dxa"/>
            <w:tcBorders>
              <w:top w:val="nil"/>
              <w:left w:val="nil"/>
              <w:bottom w:val="single" w:sz="4" w:space="0" w:color="auto"/>
              <w:right w:val="single" w:sz="4" w:space="0" w:color="auto"/>
            </w:tcBorders>
            <w:shd w:val="clear" w:color="auto" w:fill="FFFFFF" w:themeFill="background1"/>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117 (occurrence dont la DDV = 01/01/1984)</w:t>
            </w:r>
          </w:p>
        </w:tc>
        <w:tc>
          <w:tcPr>
            <w:tcW w:w="1276" w:type="dxa"/>
            <w:tcBorders>
              <w:top w:val="nil"/>
              <w:left w:val="nil"/>
              <w:bottom w:val="single" w:sz="4" w:space="0" w:color="auto"/>
              <w:right w:val="single" w:sz="4" w:space="0" w:color="auto"/>
            </w:tcBorders>
            <w:shd w:val="clear" w:color="auto" w:fill="FFFFFF" w:themeFill="background1"/>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rPr>
              <w:t>409</w:t>
            </w:r>
          </w:p>
        </w:tc>
        <w:tc>
          <w:tcPr>
            <w:tcW w:w="1275" w:type="dxa"/>
            <w:tcBorders>
              <w:top w:val="nil"/>
              <w:left w:val="nil"/>
              <w:bottom w:val="single" w:sz="4" w:space="0" w:color="auto"/>
              <w:right w:val="single" w:sz="4" w:space="0" w:color="auto"/>
            </w:tcBorders>
            <w:shd w:val="clear" w:color="auto" w:fill="FFFFFF" w:themeFill="background1"/>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01/01/1984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keepNext/>
              <w:suppressAutoHyphens w:val="0"/>
              <w:spacing w:before="0" w:after="0" w:line="240" w:lineRule="auto"/>
              <w:ind w:left="-70" w:firstLine="70"/>
              <w:rPr>
                <w:rFonts w:ascii="Arial" w:hAnsi="Arial" w:cs="Arial"/>
                <w:sz w:val="14"/>
                <w:szCs w:val="14"/>
                <w:lang w:eastAsia="fr-FR"/>
              </w:rPr>
            </w:pPr>
            <w:r>
              <w:rPr>
                <w:rFonts w:ascii="Arial" w:hAnsi="Arial" w:cs="Arial"/>
                <w:sz w:val="14"/>
                <w:szCs w:val="14"/>
                <w:lang w:eastAsia="fr-FR"/>
              </w:rPr>
              <w:t> </w:t>
            </w:r>
            <w:r>
              <w:rPr>
                <w:rFonts w:ascii="Arial" w:hAnsi="Arial" w:cs="Arial"/>
                <w:sz w:val="14"/>
                <w:szCs w:val="14"/>
              </w:rPr>
              <w:t>31/05/2011</w:t>
            </w:r>
          </w:p>
        </w:tc>
      </w:tr>
      <w:tr>
        <w:trPr>
          <w:trHeight w:val="826"/>
        </w:trPr>
        <w:tc>
          <w:tcPr>
            <w:tcW w:w="727" w:type="dxa"/>
            <w:tcBorders>
              <w:top w:val="nil"/>
              <w:left w:val="single" w:sz="4" w:space="0" w:color="auto"/>
              <w:bottom w:val="single" w:sz="4" w:space="0" w:color="auto"/>
              <w:right w:val="single" w:sz="4" w:space="0" w:color="auto"/>
            </w:tcBorders>
            <w:shd w:val="clear" w:color="auto" w:fill="FFFFFF" w:themeFill="background1"/>
            <w:noWrap/>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480" w:type="dxa"/>
            <w:tcBorders>
              <w:top w:val="nil"/>
              <w:left w:val="nil"/>
              <w:bottom w:val="single" w:sz="4" w:space="0" w:color="auto"/>
              <w:right w:val="single" w:sz="4" w:space="0" w:color="auto"/>
            </w:tcBorders>
            <w:shd w:val="clear" w:color="auto" w:fill="FFFFFF" w:themeFill="background1"/>
            <w:noWrap/>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w:t>
            </w:r>
          </w:p>
        </w:tc>
        <w:tc>
          <w:tcPr>
            <w:tcW w:w="1218" w:type="dxa"/>
            <w:tcBorders>
              <w:top w:val="nil"/>
              <w:left w:val="nil"/>
              <w:bottom w:val="single" w:sz="4" w:space="0" w:color="auto"/>
              <w:right w:val="single" w:sz="4" w:space="0" w:color="auto"/>
            </w:tcBorders>
            <w:shd w:val="clear" w:color="auto" w:fill="FFFFFF" w:themeFill="background1"/>
            <w:vAlign w:val="center"/>
          </w:tcPr>
          <w:p>
            <w:pPr>
              <w:keepNext/>
              <w:rPr>
                <w:rFonts w:ascii="Arial" w:hAnsi="Arial" w:cs="Arial"/>
                <w:color w:val="9C0006"/>
                <w:sz w:val="14"/>
                <w:szCs w:val="14"/>
              </w:rPr>
            </w:pPr>
            <w:r>
              <w:rPr>
                <w:rFonts w:ascii="Arial" w:hAnsi="Arial" w:cs="Arial"/>
                <w:color w:val="9C0006"/>
                <w:sz w:val="14"/>
                <w:szCs w:val="14"/>
              </w:rPr>
              <w:t>259</w:t>
            </w:r>
          </w:p>
          <w:p>
            <w:pPr>
              <w:keepNext/>
              <w:suppressAutoHyphens w:val="0"/>
              <w:spacing w:before="0" w:after="0" w:line="240" w:lineRule="auto"/>
              <w:rPr>
                <w:rFonts w:ascii="Arial" w:hAnsi="Arial" w:cs="Arial"/>
                <w:sz w:val="14"/>
                <w:szCs w:val="14"/>
                <w:lang w:eastAsia="fr-FR"/>
              </w:rPr>
            </w:pPr>
          </w:p>
        </w:tc>
        <w:tc>
          <w:tcPr>
            <w:tcW w:w="1843" w:type="dxa"/>
            <w:tcBorders>
              <w:top w:val="nil"/>
              <w:left w:val="nil"/>
              <w:bottom w:val="single" w:sz="4" w:space="0" w:color="auto"/>
              <w:right w:val="single" w:sz="4" w:space="0" w:color="auto"/>
            </w:tcBorders>
            <w:shd w:val="clear" w:color="auto" w:fill="FFFFFF" w:themeFill="background1"/>
            <w:vAlign w:val="bottom"/>
          </w:tcPr>
          <w:p>
            <w:pPr>
              <w:keepNext/>
              <w:suppressAutoHyphens w:val="0"/>
              <w:spacing w:before="0" w:after="0" w:line="240" w:lineRule="auto"/>
              <w:rPr>
                <w:rFonts w:ascii="Arial" w:hAnsi="Arial" w:cs="Arial"/>
                <w:sz w:val="14"/>
                <w:szCs w:val="14"/>
                <w:lang w:eastAsia="fr-FR"/>
              </w:rPr>
            </w:pPr>
            <w:r>
              <w:rPr>
                <w:rFonts w:ascii="Arial" w:hAnsi="Arial" w:cs="Arial"/>
                <w:sz w:val="14"/>
                <w:szCs w:val="14"/>
              </w:rPr>
              <w:t>SECR.ADM. AFF SOCIALES DE CLASSE EX</w:t>
            </w:r>
          </w:p>
        </w:tc>
        <w:tc>
          <w:tcPr>
            <w:tcW w:w="851" w:type="dxa"/>
            <w:tcBorders>
              <w:top w:val="nil"/>
              <w:left w:val="nil"/>
              <w:bottom w:val="single" w:sz="4" w:space="0" w:color="auto"/>
              <w:right w:val="single" w:sz="4" w:space="0" w:color="auto"/>
            </w:tcBorders>
            <w:shd w:val="clear" w:color="auto" w:fill="FFFFFF" w:themeFill="background1"/>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117 (occurrence dont la DDV = 01/01/1984)</w:t>
            </w:r>
          </w:p>
        </w:tc>
        <w:tc>
          <w:tcPr>
            <w:tcW w:w="1276" w:type="dxa"/>
            <w:tcBorders>
              <w:top w:val="nil"/>
              <w:left w:val="nil"/>
              <w:bottom w:val="single" w:sz="4" w:space="0" w:color="auto"/>
              <w:right w:val="single" w:sz="4" w:space="0" w:color="auto"/>
            </w:tcBorders>
            <w:shd w:val="clear" w:color="auto" w:fill="FFFFFF" w:themeFill="background1"/>
            <w:vAlign w:val="bottom"/>
          </w:tcPr>
          <w:p>
            <w:pPr>
              <w:keepNext/>
              <w:suppressAutoHyphens w:val="0"/>
              <w:spacing w:before="0" w:after="0" w:line="240" w:lineRule="auto"/>
              <w:rPr>
                <w:rFonts w:ascii="Arial" w:hAnsi="Arial" w:cs="Arial"/>
                <w:sz w:val="14"/>
                <w:szCs w:val="14"/>
                <w:lang w:eastAsia="fr-FR"/>
              </w:rPr>
            </w:pPr>
            <w:r>
              <w:rPr>
                <w:rFonts w:ascii="Arial" w:hAnsi="Arial" w:cs="Arial"/>
                <w:sz w:val="14"/>
                <w:szCs w:val="14"/>
              </w:rPr>
              <w:t>410</w:t>
            </w:r>
          </w:p>
        </w:tc>
        <w:tc>
          <w:tcPr>
            <w:tcW w:w="1275" w:type="dxa"/>
            <w:tcBorders>
              <w:top w:val="nil"/>
              <w:left w:val="nil"/>
              <w:bottom w:val="single" w:sz="4" w:space="0" w:color="auto"/>
              <w:right w:val="single" w:sz="4" w:space="0" w:color="auto"/>
            </w:tcBorders>
            <w:shd w:val="clear" w:color="auto" w:fill="FFFFFF" w:themeFill="background1"/>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01/06/2011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keepNext/>
              <w:suppressAutoHyphens w:val="0"/>
              <w:spacing w:before="0" w:after="0" w:line="240" w:lineRule="auto"/>
              <w:ind w:left="-70" w:firstLine="70"/>
              <w:rPr>
                <w:rFonts w:ascii="Arial" w:hAnsi="Arial" w:cs="Arial"/>
                <w:sz w:val="14"/>
                <w:szCs w:val="14"/>
                <w:lang w:eastAsia="fr-FR"/>
              </w:rPr>
            </w:pPr>
          </w:p>
        </w:tc>
      </w:tr>
    </w:tbl>
    <w:p>
      <w:pPr>
        <w:keepNext/>
        <w:ind w:left="1"/>
      </w:pPr>
    </w:p>
    <w:p>
      <w:pPr>
        <w:pStyle w:val="ONPCorpsdetexte"/>
        <w:ind w:left="1"/>
      </w:pPr>
    </w:p>
    <w:p>
      <w:pPr>
        <w:pStyle w:val="Titre1"/>
        <w:keepLines w:val="0"/>
        <w:pBdr>
          <w:top w:val="single" w:sz="12" w:space="1" w:color="365F91"/>
          <w:bottom w:val="single" w:sz="12" w:space="1" w:color="365F91"/>
        </w:pBdr>
        <w:shd w:val="clear" w:color="auto" w:fill="FFFFFF"/>
        <w:tabs>
          <w:tab w:val="clear" w:pos="567"/>
          <w:tab w:val="clear" w:pos="851"/>
          <w:tab w:val="num" w:pos="739"/>
        </w:tabs>
        <w:suppressAutoHyphens w:val="0"/>
        <w:spacing w:before="360" w:after="360" w:line="240" w:lineRule="auto"/>
        <w:ind w:left="739"/>
        <w:jc w:val="both"/>
      </w:pPr>
      <w:bookmarkStart w:id="48" w:name="__RefHeading__1535_1378251362"/>
      <w:bookmarkStart w:id="49" w:name="__RefHeading__2105_1378251362"/>
      <w:bookmarkStart w:id="50" w:name="__RefHeading__2107_1378251362"/>
      <w:bookmarkStart w:id="51" w:name="__RefHeading__1541_1378251362"/>
      <w:bookmarkStart w:id="52" w:name="__RefHeading__19860_18271642721111111111"/>
      <w:bookmarkStart w:id="53" w:name="__RefHeading__18814_31150173611111111111"/>
      <w:bookmarkStart w:id="54" w:name="_Toc420486227"/>
      <w:bookmarkStart w:id="55" w:name="_Toc20761127"/>
      <w:bookmarkEnd w:id="48"/>
      <w:bookmarkEnd w:id="49"/>
      <w:bookmarkEnd w:id="50"/>
      <w:bookmarkEnd w:id="51"/>
      <w:bookmarkEnd w:id="52"/>
      <w:bookmarkEnd w:id="53"/>
      <w:r>
        <w:lastRenderedPageBreak/>
        <w:t>Constitution des fichiers INGRES</w:t>
      </w:r>
      <w:bookmarkEnd w:id="54"/>
      <w:bookmarkEnd w:id="55"/>
      <w:r>
        <w:t xml:space="preserve"> </w:t>
      </w:r>
    </w:p>
    <w:p>
      <w:pPr>
        <w:pStyle w:val="Titre2"/>
      </w:pPr>
      <w:bookmarkStart w:id="56" w:name="_Ref290903546"/>
      <w:bookmarkStart w:id="57" w:name="_Ref290903548"/>
      <w:bookmarkStart w:id="58" w:name="_Toc420486228"/>
      <w:bookmarkStart w:id="59" w:name="_Toc20761128"/>
      <w:r>
        <w:t>Principes structurants</w:t>
      </w:r>
      <w:bookmarkEnd w:id="56"/>
      <w:bookmarkEnd w:id="57"/>
      <w:bookmarkEnd w:id="58"/>
      <w:bookmarkEnd w:id="59"/>
      <w:r>
        <w:t xml:space="preserve"> </w:t>
      </w:r>
    </w:p>
    <w:p>
      <w:pPr>
        <w:ind w:left="1"/>
        <w:jc w:val="both"/>
      </w:pPr>
      <w:r>
        <w:t>La diffusion des nomenclatures du Noyau RH-FPE s'effectue sur l'initiative d'un administrateur fonctionnel de INGRES. Dès lors qu'une version globale de référentiels a été validée, ce dernier planifie une diffusion des nomenclatures en mode différentiel ou en mode complet selon les besoins des SI destinataires.</w:t>
      </w:r>
    </w:p>
    <w:p>
      <w:pPr>
        <w:pStyle w:val="Titre3"/>
      </w:pPr>
      <w:bookmarkStart w:id="60" w:name="__RefHeading__30370_18271642721111111111"/>
      <w:bookmarkStart w:id="61" w:name="__RefHeading__19293_311501736"/>
      <w:bookmarkStart w:id="62" w:name="__RefHeading__18828_311501736"/>
      <w:bookmarkStart w:id="63" w:name="__RefHeading__1575_1378251362"/>
      <w:bookmarkStart w:id="64" w:name="__RefHeading__2121_1378251362"/>
      <w:bookmarkStart w:id="65" w:name="__RefHeading__19882_1827164272"/>
      <w:bookmarkStart w:id="66" w:name="__RefHeading__20283_1827164272"/>
      <w:bookmarkStart w:id="67" w:name="__RefHeading__20876_1827164272"/>
      <w:bookmarkStart w:id="68" w:name="__RefHeading__22741_1827164272"/>
      <w:bookmarkStart w:id="69" w:name="__RefHeading__23059_1827164272"/>
      <w:bookmarkEnd w:id="60"/>
      <w:bookmarkEnd w:id="61"/>
      <w:bookmarkEnd w:id="62"/>
      <w:bookmarkEnd w:id="63"/>
      <w:bookmarkEnd w:id="64"/>
      <w:bookmarkEnd w:id="65"/>
      <w:bookmarkEnd w:id="66"/>
      <w:bookmarkEnd w:id="67"/>
      <w:bookmarkEnd w:id="68"/>
      <w:bookmarkEnd w:id="69"/>
      <w:r>
        <w:t>Modes de diffusion</w:t>
      </w:r>
    </w:p>
    <w:p>
      <w:pPr>
        <w:pStyle w:val="ONPCorpsdetexte"/>
        <w:ind w:left="1"/>
        <w:jc w:val="both"/>
        <w:rPr>
          <w:b/>
        </w:rPr>
      </w:pPr>
      <w:r>
        <w:t>Deux méthodes de synchronisation des nomenclatures par transfert de fichiers XML sont possibles :</w:t>
      </w:r>
    </w:p>
    <w:p>
      <w:pPr>
        <w:pStyle w:val="ONPCorpsdetexte"/>
        <w:numPr>
          <w:ilvl w:val="1"/>
          <w:numId w:val="43"/>
        </w:numPr>
        <w:jc w:val="both"/>
        <w:rPr>
          <w:bCs/>
        </w:rPr>
      </w:pPr>
      <w:r>
        <w:rPr>
          <w:b/>
        </w:rPr>
        <w:t xml:space="preserve"> Mode différentiel </w:t>
      </w:r>
      <w:r>
        <w:t>: correspond à la mise à jour des codes de nomenclature ayant été modifiés dans la version noyau diffusée. Ce mode de synchronisation correspond au mode nominal de gestion des transferts de fichiers.</w:t>
      </w:r>
    </w:p>
    <w:p>
      <w:pPr>
        <w:pStyle w:val="ONPCorpsdetexte"/>
        <w:numPr>
          <w:ilvl w:val="1"/>
          <w:numId w:val="8"/>
        </w:numPr>
        <w:jc w:val="both"/>
        <w:rPr>
          <w:b/>
        </w:rPr>
      </w:pPr>
      <w:r>
        <w:rPr>
          <w:bCs/>
        </w:rPr>
        <w:t xml:space="preserve">Lors d’une modification d’un ou plusieurs attributs appartenant à une occurrence  de nomenclature, l’ensemble des attributs sont envoyés au sein du fichier « Référentiel » </w:t>
      </w:r>
    </w:p>
    <w:p>
      <w:pPr>
        <w:pStyle w:val="ONPCorpsdetexte"/>
        <w:numPr>
          <w:ilvl w:val="0"/>
          <w:numId w:val="8"/>
        </w:numPr>
        <w:jc w:val="both"/>
      </w:pPr>
      <w:r>
        <w:rPr>
          <w:b/>
        </w:rPr>
        <w:t>Mode complet</w:t>
      </w:r>
      <w:r>
        <w:t xml:space="preserve"> : correspond à la mise à jour de tous les codes de nomenclature, y compris l’historique. Ce mode de mise à jour de référentiel est utilisé pour des demandes ponctuelles de resynchronisation de référentiels.  </w:t>
      </w:r>
    </w:p>
    <w:p>
      <w:pPr>
        <w:pStyle w:val="Titre4"/>
      </w:pPr>
      <w:r>
        <w:t>Synchronisation en mode différentiel</w:t>
      </w:r>
    </w:p>
    <w:p>
      <w:pPr>
        <w:pStyle w:val="ONPCorpsdetexte"/>
        <w:ind w:left="1"/>
        <w:jc w:val="both"/>
      </w:pPr>
      <w:r>
        <w:t>Le mode de mise à jour différentiel signifie que seuls les codes créés, modifiés, clôturés ou exceptionnellement supprimés dans la version noyau diffusée sont transmis dans les fichiers diffusés. Ces codes seront envoyés avec l’ensemble de leurs situations de nomenclatures.</w:t>
      </w:r>
    </w:p>
    <w:p>
      <w:pPr>
        <w:pStyle w:val="ONPCorpsdetexte"/>
        <w:ind w:left="1"/>
        <w:jc w:val="both"/>
      </w:pPr>
      <w:r>
        <w:rPr>
          <w:b/>
        </w:rPr>
        <w:t>Exemple </w:t>
      </w:r>
      <w:r>
        <w:t xml:space="preserve">: Un référentiel contient 50 codes dont 2 nouveaux  créés dans la version diffusée et un code modifié dans cette même version. </w:t>
      </w:r>
    </w:p>
    <w:p>
      <w:pPr>
        <w:pStyle w:val="ONPCorpsdetexte"/>
        <w:ind w:left="1"/>
        <w:jc w:val="both"/>
      </w:pPr>
      <w:r>
        <w:t>Le fichier XML diffusé contiendra la totalité des situations de nomenclature des deux codes nouvellement créés et du code modifié. Les 49 codes de la nomenclature n’ayant pas présenté de modification ne seront pas inclus dans le fichier.</w:t>
      </w:r>
    </w:p>
    <w:p>
      <w:pPr>
        <w:pStyle w:val="Titre4"/>
      </w:pPr>
      <w:r>
        <w:t>Synchronisation en mode complet</w:t>
      </w:r>
    </w:p>
    <w:p>
      <w:pPr>
        <w:pStyle w:val="ONPCorpsdetexte"/>
        <w:tabs>
          <w:tab w:val="left" w:pos="0"/>
        </w:tabs>
        <w:ind w:left="1"/>
        <w:jc w:val="both"/>
      </w:pPr>
      <w:r>
        <w:t>Le fichier contient l’ensemble des codes de nomenclature et l'ensemble des situations de nomenclature associées non supprimées (pour lesquelles le type de mise à jour est différent de "S").</w:t>
      </w:r>
    </w:p>
    <w:p>
      <w:pPr>
        <w:pStyle w:val="Titre3"/>
      </w:pPr>
      <w:r>
        <w:lastRenderedPageBreak/>
        <w:t>Diffusion multi-structures</w:t>
      </w:r>
    </w:p>
    <w:p>
      <w:pPr>
        <w:pStyle w:val="Titre4"/>
      </w:pPr>
      <w:r>
        <w:t>Présentation</w:t>
      </w:r>
    </w:p>
    <w:p>
      <w:pPr>
        <w:ind w:left="1"/>
        <w:jc w:val="both"/>
      </w:pPr>
      <w:r>
        <w:t>Dans le Dictionnaire de données, chaque mise à jour apportée à une structure de nomenclature est tracée et associée à la version du Noyau RH FPE dans laquelle la modification  a été effectuée.</w:t>
      </w:r>
    </w:p>
    <w:p>
      <w:pPr>
        <w:ind w:left="1"/>
        <w:jc w:val="both"/>
      </w:pPr>
      <w:r>
        <w:t>Certaines de ces modifications sont sans impacts sur le format en tant que tel de la nomenclature (ex. correction d’un libellé associé à un attribut), tandis que d’autres sont très structurantes (ex. ajout d’un attribut, modification de sa taille, etc.) et ont des conséquences directes sur le format de la diffusion.</w:t>
      </w:r>
    </w:p>
    <w:p>
      <w:pPr>
        <w:ind w:left="1"/>
        <w:jc w:val="both"/>
      </w:pPr>
      <w:r>
        <w:t>Il est ainsi aisé de déterminer le format associé à chacune des nomenclatures dans une version du Noyau RHFPE donnée.</w:t>
      </w:r>
    </w:p>
    <w:p>
      <w:pPr>
        <w:ind w:left="1"/>
        <w:jc w:val="both"/>
      </w:pPr>
      <w:r>
        <w:rPr>
          <w:b/>
        </w:rPr>
        <w:t>Exemple</w:t>
      </w:r>
      <w:r>
        <w:t xml:space="preserve"> : Le format R_CONGE_ABSENCE, constitué de 8 attributs, n’a pas évolué entre les versions </w:t>
      </w:r>
      <w:r>
        <w:rPr>
          <w:rFonts w:ascii="Arial" w:hAnsi="Arial" w:cs="Arial"/>
          <w:sz w:val="22"/>
          <w:szCs w:val="22"/>
        </w:rPr>
        <w:t>V3.32 et</w:t>
      </w:r>
      <w:r>
        <w:t xml:space="preserve"> V00.04.010 du noyau RH FPE. Il a été enrichi dans la version V00.05.10 par l’ajout de  deux attributs : R_REL_IMPPAY et R_REL_IMPREM. </w:t>
      </w:r>
    </w:p>
    <w:tbl>
      <w:tblPr>
        <w:tblW w:w="9002" w:type="dxa"/>
        <w:tblInd w:w="65" w:type="dxa"/>
        <w:shd w:val="clear" w:color="auto" w:fill="B8CCE4"/>
        <w:tblCellMar>
          <w:left w:w="70" w:type="dxa"/>
          <w:right w:w="70" w:type="dxa"/>
        </w:tblCellMar>
        <w:tblLook w:val="04A0" w:firstRow="1" w:lastRow="0" w:firstColumn="1" w:lastColumn="0" w:noHBand="0" w:noVBand="1"/>
      </w:tblPr>
      <w:tblGrid>
        <w:gridCol w:w="923"/>
        <w:gridCol w:w="992"/>
        <w:gridCol w:w="1701"/>
        <w:gridCol w:w="5386"/>
      </w:tblGrid>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B8CCE4"/>
            <w:vAlign w:val="center"/>
            <w:hideMark/>
          </w:tcPr>
          <w:p>
            <w:pPr>
              <w:suppressAutoHyphens w:val="0"/>
              <w:spacing w:before="0" w:after="0" w:line="240" w:lineRule="auto"/>
              <w:rPr>
                <w:rFonts w:ascii="Arial" w:hAnsi="Arial" w:cs="Arial"/>
                <w:b/>
                <w:sz w:val="16"/>
                <w:szCs w:val="16"/>
                <w:lang w:eastAsia="fr-FR"/>
              </w:rPr>
            </w:pPr>
            <w:r>
              <w:rPr>
                <w:rFonts w:ascii="Arial" w:hAnsi="Arial" w:cs="Arial"/>
                <w:b/>
                <w:sz w:val="16"/>
                <w:szCs w:val="16"/>
                <w:lang w:eastAsia="fr-FR"/>
              </w:rPr>
              <w:t>Version</w:t>
            </w:r>
          </w:p>
        </w:tc>
        <w:tc>
          <w:tcPr>
            <w:tcW w:w="992" w:type="dxa"/>
            <w:tcBorders>
              <w:top w:val="single" w:sz="4" w:space="0" w:color="auto"/>
              <w:left w:val="nil"/>
              <w:bottom w:val="single" w:sz="4" w:space="0" w:color="auto"/>
              <w:right w:val="single" w:sz="4" w:space="0" w:color="auto"/>
            </w:tcBorders>
            <w:shd w:val="clear" w:color="auto" w:fill="B8CCE4"/>
            <w:vAlign w:val="center"/>
            <w:hideMark/>
          </w:tcPr>
          <w:p>
            <w:pPr>
              <w:suppressAutoHyphens w:val="0"/>
              <w:spacing w:before="0" w:after="0" w:line="240" w:lineRule="auto"/>
              <w:rPr>
                <w:rFonts w:ascii="Arial" w:hAnsi="Arial" w:cs="Arial"/>
                <w:b/>
                <w:sz w:val="16"/>
                <w:szCs w:val="16"/>
                <w:lang w:eastAsia="fr-FR"/>
              </w:rPr>
            </w:pPr>
            <w:r>
              <w:rPr>
                <w:rFonts w:ascii="Arial" w:hAnsi="Arial" w:cs="Arial"/>
                <w:b/>
                <w:sz w:val="16"/>
                <w:szCs w:val="16"/>
                <w:lang w:eastAsia="fr-FR"/>
              </w:rPr>
              <w:t>Type de mise à jour</w:t>
            </w:r>
          </w:p>
        </w:tc>
        <w:tc>
          <w:tcPr>
            <w:tcW w:w="1701" w:type="dxa"/>
            <w:tcBorders>
              <w:top w:val="single" w:sz="4" w:space="0" w:color="auto"/>
              <w:left w:val="nil"/>
              <w:bottom w:val="single" w:sz="4" w:space="0" w:color="auto"/>
              <w:right w:val="single" w:sz="4" w:space="0" w:color="auto"/>
            </w:tcBorders>
            <w:shd w:val="clear" w:color="auto"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CODE</w:t>
            </w:r>
          </w:p>
        </w:tc>
        <w:tc>
          <w:tcPr>
            <w:tcW w:w="5386" w:type="dxa"/>
            <w:tcBorders>
              <w:top w:val="single" w:sz="4" w:space="0" w:color="auto"/>
              <w:left w:val="nil"/>
              <w:bottom w:val="single" w:sz="4" w:space="0" w:color="auto"/>
              <w:right w:val="single" w:sz="4" w:space="0" w:color="auto"/>
            </w:tcBorders>
            <w:shd w:val="clear" w:color="auto" w:fill="B8CCE4"/>
            <w:noWrap/>
            <w:vAlign w:val="center"/>
            <w:hideMark/>
          </w:tcPr>
          <w:p>
            <w:pPr>
              <w:suppressAutoHyphens w:val="0"/>
              <w:spacing w:before="0" w:after="0" w:line="240" w:lineRule="auto"/>
              <w:rPr>
                <w:rFonts w:ascii="Arial" w:hAnsi="Arial" w:cs="Arial"/>
                <w:b/>
                <w:bCs/>
                <w:sz w:val="16"/>
                <w:szCs w:val="16"/>
                <w:lang w:eastAsia="fr-FR"/>
              </w:rPr>
            </w:pPr>
            <w:r>
              <w:rPr>
                <w:rFonts w:ascii="Arial" w:hAnsi="Arial" w:cs="Arial"/>
                <w:b/>
                <w:bCs/>
                <w:sz w:val="16"/>
                <w:szCs w:val="16"/>
                <w:lang w:eastAsia="fr-FR"/>
              </w:rPr>
              <w:t>LIBELLES  DONNÉES</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V1.0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 Initial</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R_FOR_IDEN05</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lang w:eastAsia="fr-FR"/>
              </w:rPr>
            </w:pPr>
            <w:r>
              <w:rPr>
                <w:rFonts w:ascii="Arial" w:hAnsi="Arial" w:cs="Arial"/>
                <w:sz w:val="16"/>
                <w:szCs w:val="16"/>
              </w:rPr>
              <w:t xml:space="preserve">Identifiant </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Complété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R_FOR_LIBCOU</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Libellé court</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Complété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R_FOR_LIBLON</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Libellé long</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Complété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R_FOR_LIBIMP</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Libellé d'impression</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Complété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R_REL_TYPPOP</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Clé de la table "Typologie de population" (TYPO_POP)</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V2.9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Ajouté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R_FOR_DATDEB</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Date de début</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V1.0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 Initial</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R_FOR_DATFIN</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Date de fin</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V3.32</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Modifié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R_REL_COAAG1</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Clé de la table "Agrégation Congés Absences Niv1" (AGG_CONGE_NIV1)</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00.05.10</w:t>
            </w:r>
          </w:p>
        </w:tc>
        <w:tc>
          <w:tcPr>
            <w:tcW w:w="99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Ajouté</w:t>
            </w:r>
          </w:p>
        </w:tc>
        <w:tc>
          <w:tcPr>
            <w:tcW w:w="1701"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R_REL_IMPPAY</w:t>
            </w:r>
          </w:p>
        </w:tc>
        <w:tc>
          <w:tcPr>
            <w:tcW w:w="538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Congé / absence avec impact en paye</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00.05.10</w:t>
            </w:r>
          </w:p>
        </w:tc>
        <w:tc>
          <w:tcPr>
            <w:tcW w:w="99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Ajouté</w:t>
            </w:r>
          </w:p>
        </w:tc>
        <w:tc>
          <w:tcPr>
            <w:tcW w:w="1701"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R_REL_IMPREM</w:t>
            </w:r>
          </w:p>
        </w:tc>
        <w:tc>
          <w:tcPr>
            <w:tcW w:w="538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Clé de la table "Impacts rémunération" IMPACT_REMU</w:t>
            </w:r>
          </w:p>
        </w:tc>
      </w:tr>
    </w:tbl>
    <w:p>
      <w:pPr>
        <w:ind w:left="1"/>
      </w:pPr>
    </w:p>
    <w:p>
      <w:pPr>
        <w:ind w:left="1"/>
        <w:jc w:val="both"/>
      </w:pPr>
      <w:r>
        <w:t>Chaque version majeure du Noyau RH FPE comprenant une évolution de la structure d’une nomenclature est associée à une version du format XML décrivant la structuration des fichiers diffusés.</w:t>
      </w:r>
    </w:p>
    <w:p>
      <w:pPr>
        <w:ind w:left="1"/>
        <w:jc w:val="both"/>
      </w:pPr>
      <w:r>
        <w:t>Chaque évolution du noyau induisant une modification dans la structure d’une nomenclature implique donc une montée de version du format des fichiers XML.</w:t>
      </w:r>
    </w:p>
    <w:p>
      <w:pPr>
        <w:ind w:left="1"/>
        <w:jc w:val="both"/>
      </w:pPr>
      <w:r>
        <w:lastRenderedPageBreak/>
        <w:t xml:space="preserve">INGRES permet de diffuser le contenu d’une version noyau dans différents formats de XML.  Il sera possible en cible de diffuser le contenu des nomenclatures dans trois versions de formats XML différents (les 3 dernières). </w:t>
      </w:r>
    </w:p>
    <w:p>
      <w:pPr>
        <w:ind w:left="1"/>
        <w:jc w:val="both"/>
      </w:pPr>
      <w:r>
        <w:t>NB : Aujourd’hui, seules les versions 00.04.00, 00.05.10 et 16.00.00 sont disponibles dans l’outil.</w:t>
      </w:r>
    </w:p>
    <w:p>
      <w:pPr>
        <w:ind w:left="1"/>
        <w:jc w:val="both"/>
        <w:rPr>
          <w:rFonts w:ascii="Arial" w:hAnsi="Arial" w:cs="Arial"/>
          <w:sz w:val="20"/>
        </w:rPr>
      </w:pPr>
    </w:p>
    <w:p>
      <w:pPr>
        <w:ind w:left="1"/>
        <w:jc w:val="both"/>
      </w:pPr>
      <w:r>
        <w:t>Il existe différents types d'évolution pouvant intervenir sur le format des nomenclatures. Tous sont réalisés de façon à ce que la compatibilité ascendante des formats soit assurée : seules les modifications consistant à enrichir les fichiers ou sans impact sur leur structuration sont tolérées.</w:t>
      </w:r>
    </w:p>
    <w:p>
      <w:pPr>
        <w:pStyle w:val="Titre4"/>
        <w:jc w:val="both"/>
      </w:pPr>
      <w:r>
        <w:t>Différentes évolutions possibles</w:t>
      </w:r>
    </w:p>
    <w:p>
      <w:pPr>
        <w:pStyle w:val="Titre5"/>
        <w:jc w:val="both"/>
      </w:pPr>
      <w:r>
        <w:t>Création d’un attribut dans une nomenclature existante</w:t>
      </w:r>
    </w:p>
    <w:p>
      <w:pPr>
        <w:ind w:left="1"/>
        <w:jc w:val="both"/>
      </w:pPr>
      <w:r>
        <w:t>L’ajout d’un attribut venant enrichir le format d’une nomenclature déjà existante dans le Dictionnaire de données et donc dans la version du format XML précédente est un cas réservé aux versions noyau dites structurantes (et annuelle).</w:t>
      </w:r>
    </w:p>
    <w:p>
      <w:pPr>
        <w:ind w:left="1"/>
        <w:jc w:val="both"/>
      </w:pPr>
      <w:r>
        <w:t>Un attribut créé dans une version structurante du noyau RH FPE n’apparaitra que dans la version de format XML reposant sur cette version et dans les versions de format XML ultérieures.</w:t>
      </w:r>
    </w:p>
    <w:p>
      <w:pPr>
        <w:pStyle w:val="Textebrut"/>
        <w:ind w:left="1"/>
        <w:jc w:val="both"/>
        <w:rPr>
          <w:rFonts w:ascii="Arial" w:hAnsi="Arial" w:cs="Arial"/>
          <w:sz w:val="20"/>
          <w:szCs w:val="20"/>
        </w:rPr>
      </w:pPr>
    </w:p>
    <w:p>
      <w:pPr>
        <w:ind w:left="1"/>
        <w:jc w:val="both"/>
      </w:pPr>
      <w:r>
        <w:rPr>
          <w:b/>
        </w:rPr>
        <w:t>Exemple</w:t>
      </w:r>
      <w:r>
        <w:t xml:space="preserve"> : la nomenclature CONGES_ABSENCE présente 8 attributs distincts en V00.04.00 et 10 en V00.05.10. </w:t>
      </w:r>
    </w:p>
    <w:p>
      <w:pPr>
        <w:ind w:left="1"/>
        <w:jc w:val="both"/>
      </w:pPr>
      <w:r>
        <w:t xml:space="preserve">Lorsque la version 00.05.10 du noyau RH FPR sera diffusée dans la version de format XML 00.04.00, seuls les attributs existant dans la version 00.04.00 du DDD seront présents dans le fichier référentiel diffusé.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&lt;R_CONGE_ABSENCE&gt;,</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&lt;R_FOR_IDEN05&gt;</w:t>
      </w:r>
      <w:r>
        <w:rPr>
          <w:rFonts w:asciiTheme="minorHAnsi" w:hAnsiTheme="minorHAnsi" w:cstheme="minorHAnsi"/>
          <w:b/>
          <w:color w:val="FF0000"/>
          <w:sz w:val="18"/>
          <w:szCs w:val="18"/>
          <w:lang w:val="en-US"/>
        </w:rPr>
        <w:t>CA001</w:t>
      </w:r>
      <w:r>
        <w:rPr>
          <w:rFonts w:asciiTheme="minorHAnsi" w:hAnsiTheme="minorHAnsi" w:cstheme="minorHAnsi"/>
          <w:b/>
          <w:color w:val="3333FF"/>
          <w:sz w:val="18"/>
          <w:szCs w:val="18"/>
          <w:lang w:val="en-US"/>
        </w:rPr>
        <w:t xml:space="preserve">&lt;/R_FOR_IDEN05&gt;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&lt;R_FOR_LIBCOU&gt;</w:t>
      </w:r>
      <w:r>
        <w:rPr>
          <w:rFonts w:asciiTheme="minorHAnsi" w:hAnsiTheme="minorHAnsi" w:cstheme="minorHAnsi"/>
          <w:b/>
          <w:color w:val="FF0000"/>
          <w:sz w:val="18"/>
          <w:szCs w:val="18"/>
          <w:lang w:val="en-US"/>
        </w:rPr>
        <w:t>AA pour form.prof</w:t>
      </w:r>
      <w:r>
        <w:rPr>
          <w:rFonts w:asciiTheme="minorHAnsi" w:hAnsiTheme="minorHAnsi" w:cstheme="minorHAnsi"/>
          <w:b/>
          <w:color w:val="3333FF"/>
          <w:sz w:val="18"/>
          <w:szCs w:val="18"/>
          <w:lang w:val="en-US"/>
        </w:rPr>
        <w:t xml:space="preserve">.&lt;/R_FOR_LIBCOU&gt;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&lt;R_FOR_LIBLON&gt;</w:t>
      </w:r>
      <w:r>
        <w:rPr>
          <w:rFonts w:asciiTheme="minorHAnsi" w:hAnsiTheme="minorHAnsi" w:cstheme="minorHAnsi"/>
          <w:b/>
          <w:color w:val="FF0000"/>
          <w:sz w:val="18"/>
          <w:szCs w:val="18"/>
        </w:rPr>
        <w:t>Autorisation d'absence pour formation professionnelle</w:t>
      </w:r>
      <w:r>
        <w:rPr>
          <w:rFonts w:asciiTheme="minorHAnsi" w:hAnsiTheme="minorHAnsi" w:cstheme="minorHAnsi"/>
          <w:b/>
          <w:color w:val="3333FF"/>
          <w:sz w:val="18"/>
          <w:szCs w:val="18"/>
        </w:rPr>
        <w:t xml:space="preserve">&lt;/R_FOR_LIBLON&gt;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&lt;R_FOR_LIBIMP&gt;</w:t>
      </w:r>
      <w:r>
        <w:rPr>
          <w:rFonts w:asciiTheme="minorHAnsi" w:hAnsiTheme="minorHAnsi" w:cstheme="minorHAnsi"/>
          <w:b/>
          <w:color w:val="FF0000"/>
          <w:sz w:val="18"/>
          <w:szCs w:val="18"/>
        </w:rPr>
        <w:t>Autorisation d'absence pour formation professionnelle</w:t>
      </w:r>
      <w:r>
        <w:rPr>
          <w:rFonts w:asciiTheme="minorHAnsi" w:hAnsiTheme="minorHAnsi" w:cstheme="minorHAnsi"/>
          <w:b/>
          <w:color w:val="3333FF"/>
          <w:sz w:val="18"/>
          <w:szCs w:val="18"/>
        </w:rPr>
        <w:t xml:space="preserve">&lt;/R_FOR_LIBIMP&gt;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N</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O</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S</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&lt;R_REL_TYPPOP&gt;</w:t>
      </w:r>
      <w:r>
        <w:rPr>
          <w:rFonts w:asciiTheme="minorHAnsi" w:hAnsiTheme="minorHAnsi" w:cstheme="minorHAnsi"/>
          <w:b/>
          <w:color w:val="FF0000"/>
          <w:sz w:val="18"/>
          <w:szCs w:val="18"/>
        </w:rPr>
        <w:t>T</w:t>
      </w:r>
      <w:r>
        <w:rPr>
          <w:rFonts w:asciiTheme="minorHAnsi" w:hAnsiTheme="minorHAnsi" w:cstheme="minorHAnsi"/>
          <w:b/>
          <w:color w:val="3333FF"/>
          <w:sz w:val="18"/>
          <w:szCs w:val="18"/>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&lt;R_FOR_DATDEB&gt;</w:t>
      </w:r>
      <w:r>
        <w:rPr>
          <w:rFonts w:asciiTheme="minorHAnsi" w:hAnsiTheme="minorHAnsi" w:cstheme="minorHAnsi"/>
          <w:b/>
          <w:color w:val="FF0000"/>
          <w:sz w:val="18"/>
          <w:szCs w:val="18"/>
          <w:lang w:val="en-US"/>
        </w:rPr>
        <w:t>1900-01-01</w:t>
      </w:r>
      <w:r>
        <w:rPr>
          <w:rFonts w:asciiTheme="minorHAnsi" w:hAnsiTheme="minorHAnsi" w:cstheme="minorHAnsi"/>
          <w:b/>
          <w:color w:val="3333FF"/>
          <w:sz w:val="18"/>
          <w:szCs w:val="18"/>
          <w:lang w:val="en-US"/>
        </w:rPr>
        <w:t xml:space="preserve">&lt;/R_FOR_DATDEB&gt;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&lt;R_FOR_DATFIN /&gt;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&lt;R_REL_COAAG1&gt;</w:t>
      </w:r>
      <w:r>
        <w:rPr>
          <w:rFonts w:asciiTheme="minorHAnsi" w:hAnsiTheme="minorHAnsi" w:cstheme="minorHAnsi"/>
          <w:b/>
          <w:color w:val="FF0000"/>
          <w:sz w:val="18"/>
          <w:szCs w:val="18"/>
          <w:lang w:val="en-US"/>
        </w:rPr>
        <w:t>A</w:t>
      </w:r>
      <w:r>
        <w:rPr>
          <w:rFonts w:asciiTheme="minorHAnsi" w:hAnsiTheme="minorHAnsi" w:cstheme="minorHAnsi"/>
          <w:b/>
          <w:color w:val="3333FF"/>
          <w:sz w:val="18"/>
          <w:szCs w:val="18"/>
          <w:lang w:val="en-US"/>
        </w:rPr>
        <w:t xml:space="preserve">&lt;/R_REL_COAAG1&gt; </w:t>
      </w:r>
    </w:p>
    <w:p>
      <w:pPr>
        <w:spacing w:before="0" w:after="0"/>
        <w:ind w:left="1416" w:hanging="707"/>
        <w:rPr>
          <w:rFonts w:asciiTheme="minorHAnsi" w:hAnsiTheme="minorHAnsi" w:cstheme="minorHAnsi"/>
          <w:b/>
          <w:color w:val="3333FF"/>
          <w:sz w:val="18"/>
          <w:szCs w:val="18"/>
        </w:rPr>
      </w:pPr>
      <w:r>
        <w:rPr>
          <w:rFonts w:asciiTheme="minorHAnsi" w:hAnsiTheme="minorHAnsi" w:cstheme="minorHAnsi"/>
          <w:b/>
          <w:color w:val="3333FF"/>
          <w:sz w:val="18"/>
          <w:szCs w:val="18"/>
        </w:rPr>
        <w:t>&lt;/R_CONGE_ABSENCE&gt;</w:t>
      </w:r>
    </w:p>
    <w:p>
      <w:pPr>
        <w:pStyle w:val="Textebrut"/>
        <w:ind w:left="1435"/>
        <w:rPr>
          <w:rFonts w:ascii="Arial" w:hAnsi="Arial" w:cs="Arial"/>
          <w:sz w:val="16"/>
          <w:szCs w:val="16"/>
        </w:rPr>
      </w:pPr>
    </w:p>
    <w:p>
      <w:pPr>
        <w:pStyle w:val="Textebrut"/>
        <w:ind w:left="7"/>
        <w:jc w:val="both"/>
        <w:rPr>
          <w:rFonts w:ascii="Arial" w:hAnsi="Arial" w:cs="Arial"/>
          <w:sz w:val="20"/>
          <w:szCs w:val="20"/>
        </w:rPr>
      </w:pPr>
      <w:r>
        <w:rPr>
          <w:rFonts w:ascii="Arial" w:hAnsi="Arial" w:cs="Arial"/>
          <w:sz w:val="20"/>
          <w:szCs w:val="20"/>
        </w:rPr>
        <w:t xml:space="preserve">Lorsque la version 00.05.10 du noyau RH FPR sera diffusée dans la version de format XML 00.05.10, tous les attributs existant dans la version 00.05.10 du DDD seront présents dans le fichier référentiel diffusé.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&lt;R_CONGE_ABSENCE&gt;,</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lastRenderedPageBreak/>
        <w:t>&lt;R_FOR_IDEN05&gt;</w:t>
      </w:r>
      <w:r>
        <w:rPr>
          <w:rFonts w:asciiTheme="minorHAnsi" w:hAnsiTheme="minorHAnsi" w:cstheme="minorHAnsi"/>
          <w:b/>
          <w:color w:val="FF0000"/>
          <w:sz w:val="18"/>
          <w:szCs w:val="18"/>
          <w:lang w:val="en-US"/>
        </w:rPr>
        <w:t>CA001</w:t>
      </w:r>
      <w:r>
        <w:rPr>
          <w:rFonts w:asciiTheme="minorHAnsi" w:hAnsiTheme="minorHAnsi" w:cstheme="minorHAnsi"/>
          <w:b/>
          <w:color w:val="3333FF"/>
          <w:sz w:val="18"/>
          <w:szCs w:val="18"/>
          <w:lang w:val="en-US"/>
        </w:rPr>
        <w:t xml:space="preserve">&lt;/R_FOR_IDEN05&gt;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&lt;R_FOR_LIBCOU&gt;</w:t>
      </w:r>
      <w:r>
        <w:rPr>
          <w:rFonts w:asciiTheme="minorHAnsi" w:hAnsiTheme="minorHAnsi" w:cstheme="minorHAnsi"/>
          <w:b/>
          <w:color w:val="FF0000"/>
          <w:sz w:val="18"/>
          <w:szCs w:val="18"/>
          <w:lang w:val="en-US"/>
        </w:rPr>
        <w:t>AA pour form.prof</w:t>
      </w:r>
      <w:r>
        <w:rPr>
          <w:rFonts w:asciiTheme="minorHAnsi" w:hAnsiTheme="minorHAnsi" w:cstheme="minorHAnsi"/>
          <w:b/>
          <w:color w:val="3333FF"/>
          <w:sz w:val="18"/>
          <w:szCs w:val="18"/>
          <w:lang w:val="en-US"/>
        </w:rPr>
        <w:t xml:space="preserve">.&lt;/R_FOR_LIBCOU&gt;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&lt;R_FOR_LIBLON&gt;</w:t>
      </w:r>
      <w:r>
        <w:rPr>
          <w:rFonts w:asciiTheme="minorHAnsi" w:hAnsiTheme="minorHAnsi" w:cstheme="minorHAnsi"/>
          <w:b/>
          <w:color w:val="FF0000"/>
          <w:sz w:val="18"/>
          <w:szCs w:val="18"/>
        </w:rPr>
        <w:t>Autorisation d'absence pour formation professionnelle</w:t>
      </w:r>
      <w:r>
        <w:rPr>
          <w:rFonts w:asciiTheme="minorHAnsi" w:hAnsiTheme="minorHAnsi" w:cstheme="minorHAnsi"/>
          <w:b/>
          <w:color w:val="3333FF"/>
          <w:sz w:val="18"/>
          <w:szCs w:val="18"/>
        </w:rPr>
        <w:t xml:space="preserve">&lt;/R_FOR_LIBLON&gt;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&lt;R_FOR_LIBIMP&gt;</w:t>
      </w:r>
      <w:r>
        <w:rPr>
          <w:rFonts w:asciiTheme="minorHAnsi" w:hAnsiTheme="minorHAnsi" w:cstheme="minorHAnsi"/>
          <w:b/>
          <w:color w:val="FF0000"/>
          <w:sz w:val="18"/>
          <w:szCs w:val="18"/>
        </w:rPr>
        <w:t>Autorisation d'absence pour formation professionnelle</w:t>
      </w:r>
      <w:r>
        <w:rPr>
          <w:rFonts w:asciiTheme="minorHAnsi" w:hAnsiTheme="minorHAnsi" w:cstheme="minorHAnsi"/>
          <w:b/>
          <w:color w:val="3333FF"/>
          <w:sz w:val="18"/>
          <w:szCs w:val="18"/>
        </w:rPr>
        <w:t xml:space="preserve">&lt;/R_FOR_LIBIMP&gt;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N</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O</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S</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&lt;R_REL_TYPPOP&gt;</w:t>
      </w:r>
      <w:r>
        <w:rPr>
          <w:rFonts w:asciiTheme="minorHAnsi" w:hAnsiTheme="minorHAnsi" w:cstheme="minorHAnsi"/>
          <w:b/>
          <w:color w:val="FF0000"/>
          <w:sz w:val="18"/>
          <w:szCs w:val="18"/>
        </w:rPr>
        <w:t>T</w:t>
      </w:r>
      <w:r>
        <w:rPr>
          <w:rFonts w:asciiTheme="minorHAnsi" w:hAnsiTheme="minorHAnsi" w:cstheme="minorHAnsi"/>
          <w:b/>
          <w:color w:val="3333FF"/>
          <w:sz w:val="18"/>
          <w:szCs w:val="18"/>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&lt;R_FOR_DATDEB&gt;</w:t>
      </w:r>
      <w:r>
        <w:rPr>
          <w:rFonts w:asciiTheme="minorHAnsi" w:hAnsiTheme="minorHAnsi" w:cstheme="minorHAnsi"/>
          <w:b/>
          <w:color w:val="FF0000"/>
          <w:sz w:val="18"/>
          <w:szCs w:val="18"/>
          <w:lang w:val="en-US"/>
        </w:rPr>
        <w:t>1900-01-01</w:t>
      </w:r>
      <w:r>
        <w:rPr>
          <w:rFonts w:asciiTheme="minorHAnsi" w:hAnsiTheme="minorHAnsi" w:cstheme="minorHAnsi"/>
          <w:b/>
          <w:color w:val="3333FF"/>
          <w:sz w:val="18"/>
          <w:szCs w:val="18"/>
          <w:lang w:val="en-US"/>
        </w:rPr>
        <w:t xml:space="preserve">&lt;/R_FOR_DATDEB&gt;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&lt;R_FOR_DATFIN /&gt;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&lt;R_REL_COAAG1&gt;</w:t>
      </w:r>
      <w:r>
        <w:rPr>
          <w:rFonts w:asciiTheme="minorHAnsi" w:hAnsiTheme="minorHAnsi" w:cstheme="minorHAnsi"/>
          <w:b/>
          <w:color w:val="FF0000"/>
          <w:sz w:val="18"/>
          <w:szCs w:val="18"/>
          <w:lang w:val="en-US"/>
        </w:rPr>
        <w:t>A</w:t>
      </w:r>
      <w:r>
        <w:rPr>
          <w:rFonts w:asciiTheme="minorHAnsi" w:hAnsiTheme="minorHAnsi" w:cstheme="minorHAnsi"/>
          <w:b/>
          <w:color w:val="3333FF"/>
          <w:sz w:val="18"/>
          <w:szCs w:val="18"/>
          <w:lang w:val="en-US"/>
        </w:rPr>
        <w:t xml:space="preserve">&lt;/R_REL_COAAG1&gt; </w:t>
      </w:r>
    </w:p>
    <w:p>
      <w:pPr>
        <w:spacing w:before="0" w:after="0"/>
        <w:ind w:left="1418"/>
        <w:rPr>
          <w:rFonts w:asciiTheme="minorHAnsi" w:hAnsiTheme="minorHAnsi" w:cstheme="minorHAnsi"/>
          <w:b/>
          <w:color w:val="3333FF"/>
          <w:sz w:val="18"/>
          <w:szCs w:val="18"/>
          <w:highlight w:val="yellow"/>
        </w:rPr>
      </w:pPr>
      <w:r>
        <w:rPr>
          <w:rFonts w:asciiTheme="minorHAnsi" w:hAnsiTheme="minorHAnsi" w:cstheme="minorHAnsi"/>
          <w:b/>
          <w:color w:val="3333FF"/>
          <w:sz w:val="18"/>
          <w:szCs w:val="18"/>
          <w:highlight w:val="yellow"/>
        </w:rPr>
        <w:t>&lt;R_REL_IMPPAY&gt;</w:t>
      </w:r>
      <w:r>
        <w:rPr>
          <w:rFonts w:asciiTheme="minorHAnsi" w:hAnsiTheme="minorHAnsi" w:cstheme="minorHAnsi"/>
          <w:b/>
          <w:color w:val="FF0000"/>
          <w:sz w:val="18"/>
          <w:szCs w:val="18"/>
          <w:highlight w:val="yellow"/>
        </w:rPr>
        <w:t>1</w:t>
      </w:r>
      <w:r>
        <w:rPr>
          <w:rFonts w:asciiTheme="minorHAnsi" w:hAnsiTheme="minorHAnsi" w:cstheme="minorHAnsi"/>
          <w:b/>
          <w:color w:val="3333FF"/>
          <w:sz w:val="18"/>
          <w:szCs w:val="18"/>
          <w:highlight w:val="yellow"/>
        </w:rPr>
        <w:t xml:space="preserve">&lt;/R_REL_IMPPAY&gt;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highlight w:val="yellow"/>
        </w:rPr>
        <w:t>&lt;R_REL_IMPREM /&gt;</w:t>
      </w:r>
      <w:r>
        <w:rPr>
          <w:rFonts w:asciiTheme="minorHAnsi" w:hAnsiTheme="minorHAnsi" w:cstheme="minorHAnsi"/>
          <w:b/>
          <w:color w:val="3333FF"/>
          <w:sz w:val="18"/>
          <w:szCs w:val="18"/>
        </w:rPr>
        <w:t xml:space="preserve"> </w:t>
      </w:r>
    </w:p>
    <w:p>
      <w:pPr>
        <w:spacing w:before="0" w:after="0"/>
        <w:ind w:left="1416" w:hanging="707"/>
        <w:rPr>
          <w:rFonts w:asciiTheme="minorHAnsi" w:hAnsiTheme="minorHAnsi" w:cstheme="minorHAnsi"/>
          <w:b/>
          <w:color w:val="3333FF"/>
          <w:sz w:val="18"/>
          <w:szCs w:val="18"/>
        </w:rPr>
      </w:pPr>
      <w:r>
        <w:rPr>
          <w:rFonts w:asciiTheme="minorHAnsi" w:hAnsiTheme="minorHAnsi" w:cstheme="minorHAnsi"/>
          <w:b/>
          <w:color w:val="3333FF"/>
          <w:sz w:val="18"/>
          <w:szCs w:val="18"/>
        </w:rPr>
        <w:t>&lt;/R_CONGE_ABSENCE&gt;</w:t>
      </w:r>
    </w:p>
    <w:p>
      <w:pPr>
        <w:pStyle w:val="Textebrut"/>
        <w:ind w:left="7"/>
        <w:rPr>
          <w:rFonts w:ascii="Arial" w:hAnsi="Arial" w:cs="Arial"/>
          <w:sz w:val="20"/>
          <w:szCs w:val="20"/>
        </w:rPr>
      </w:pPr>
    </w:p>
    <w:p>
      <w:pPr>
        <w:pStyle w:val="Textebrut"/>
        <w:ind w:left="7"/>
        <w:jc w:val="both"/>
        <w:rPr>
          <w:rFonts w:ascii="Arial" w:hAnsi="Arial" w:cs="Arial"/>
          <w:b/>
          <w:sz w:val="20"/>
          <w:szCs w:val="20"/>
        </w:rPr>
      </w:pPr>
      <w:r>
        <w:rPr>
          <w:rFonts w:ascii="Arial" w:hAnsi="Arial" w:cs="Arial"/>
          <w:b/>
          <w:sz w:val="20"/>
          <w:szCs w:val="20"/>
        </w:rPr>
        <w:t>Point d’attention :</w:t>
      </w:r>
    </w:p>
    <w:p>
      <w:pPr>
        <w:pStyle w:val="Textebrut"/>
        <w:ind w:left="7"/>
        <w:jc w:val="both"/>
        <w:rPr>
          <w:rFonts w:ascii="Arial" w:hAnsi="Arial" w:cs="Arial"/>
          <w:sz w:val="20"/>
          <w:szCs w:val="20"/>
        </w:rPr>
      </w:pPr>
      <w:r>
        <w:rPr>
          <w:rFonts w:ascii="Arial" w:hAnsi="Arial" w:cs="Arial"/>
          <w:sz w:val="20"/>
          <w:szCs w:val="20"/>
        </w:rPr>
        <w:t>Dans le cadre d’une diffusion incrémentale, tous les codes appartenant à une nomenclature dont le format a été mis à jour dans la version diffusée sont inclus dans les fichiers.</w:t>
      </w:r>
    </w:p>
    <w:p>
      <w:pPr>
        <w:pStyle w:val="Titre5"/>
        <w:rPr>
          <w:rFonts w:ascii="Arial" w:hAnsi="Arial" w:cs="Arial"/>
          <w:sz w:val="20"/>
        </w:rPr>
      </w:pPr>
      <w:r>
        <w:t xml:space="preserve">Création d’une nomenclature </w:t>
      </w:r>
    </w:p>
    <w:p>
      <w:pPr>
        <w:ind w:left="1"/>
        <w:jc w:val="both"/>
      </w:pPr>
      <w:r>
        <w:t>Une nouvelle nomenclature</w:t>
      </w:r>
      <w:r>
        <w:rPr>
          <w:rFonts w:ascii="Arial" w:hAnsi="Arial" w:cs="Arial"/>
          <w:sz w:val="20"/>
        </w:rPr>
        <w:t xml:space="preserve"> </w:t>
      </w:r>
      <w:r>
        <w:t>créée dans une version structurante du noyau RH FPE n’apparaitra que dans la version de format XML reposant sur cette version et dans les versions de format XML ultérieures</w:t>
      </w:r>
    </w:p>
    <w:p>
      <w:pPr>
        <w:ind w:left="1"/>
        <w:jc w:val="both"/>
      </w:pPr>
      <w:r>
        <w:rPr>
          <w:b/>
        </w:rPr>
        <w:t>Exemple :</w:t>
      </w:r>
      <w:r>
        <w:t xml:space="preserve"> la nomenclature BG_MOD_CALCUL qui  n’existait pas en V00.04.00 ne sera pas diffusée dans le format XML en V00.04.00. Elle n’apparait qu’à partir de la version de format XML V00.05.10. </w:t>
      </w:r>
    </w:p>
    <w:p>
      <w:pPr>
        <w:pStyle w:val="Titre5"/>
      </w:pPr>
      <w:r>
        <w:t>Modification des caractéristiques d’un attribut</w:t>
      </w:r>
    </w:p>
    <w:p>
      <w:pPr>
        <w:ind w:left="1"/>
        <w:jc w:val="both"/>
      </w:pPr>
      <w:r>
        <w:t>Des règles destinées à assurer la compatibilité ascendante entre deux versions de formats sont mises en œuvre dans INGRES.</w:t>
      </w:r>
    </w:p>
    <w:p>
      <w:pPr>
        <w:pStyle w:val="Paragraphedeliste"/>
        <w:numPr>
          <w:ilvl w:val="0"/>
          <w:numId w:val="209"/>
        </w:numPr>
        <w:jc w:val="both"/>
      </w:pPr>
      <w:r>
        <w:t>Il n’est permis de modifier le format d’un attribut que dans les cas suivants :</w:t>
      </w:r>
    </w:p>
    <w:p>
      <w:pPr>
        <w:pStyle w:val="Paragraphedeliste"/>
        <w:numPr>
          <w:ilvl w:val="1"/>
          <w:numId w:val="209"/>
        </w:numPr>
        <w:jc w:val="both"/>
      </w:pPr>
      <w:r>
        <w:t>un entier peut être transformé en décimal ou en alphanumérique.</w:t>
      </w:r>
    </w:p>
    <w:p>
      <w:pPr>
        <w:pStyle w:val="Paragraphedeliste"/>
        <w:numPr>
          <w:ilvl w:val="1"/>
          <w:numId w:val="209"/>
        </w:numPr>
        <w:jc w:val="both"/>
      </w:pPr>
      <w:r>
        <w:t xml:space="preserve">un décimal peut être transformé en alphanumérique. </w:t>
      </w:r>
    </w:p>
    <w:p>
      <w:pPr>
        <w:pStyle w:val="Paragraphedeliste"/>
        <w:numPr>
          <w:ilvl w:val="0"/>
          <w:numId w:val="209"/>
        </w:numPr>
        <w:jc w:val="both"/>
      </w:pPr>
      <w:r>
        <w:t xml:space="preserve">Il est interdit de diminuer la longueur d’un attribut. </w:t>
      </w:r>
    </w:p>
    <w:p>
      <w:pPr>
        <w:pStyle w:val="Titre5"/>
      </w:pPr>
      <w:r>
        <w:t xml:space="preserve">Suppression logique d’un attribut </w:t>
      </w:r>
    </w:p>
    <w:p>
      <w:pPr>
        <w:rPr>
          <w:rFonts w:eastAsiaTheme="minorHAnsi"/>
        </w:rPr>
      </w:pPr>
      <w:r>
        <w:rPr>
          <w:rFonts w:eastAsiaTheme="minorHAnsi"/>
        </w:rPr>
        <w:t>Cette modification est  permise au niveau du DDD mais reste sans conséquence sur le format XML diffusé au niveau duquel l’attribut continuera à apparaitre pour permettre le maintien de la compatibilité ascendante entre les différentes versions de format XML mises en œuvre.</w:t>
      </w:r>
    </w:p>
    <w:p>
      <w:pPr>
        <w:pStyle w:val="Titre5"/>
      </w:pPr>
      <w:r>
        <w:lastRenderedPageBreak/>
        <w:t xml:space="preserve">Suppression logique d’une nomenclature </w:t>
      </w:r>
    </w:p>
    <w:p>
      <w:pPr>
        <w:ind w:left="1"/>
        <w:jc w:val="both"/>
        <w:rPr>
          <w:rFonts w:eastAsiaTheme="minorHAnsi"/>
        </w:rPr>
      </w:pPr>
      <w:r>
        <w:rPr>
          <w:rFonts w:eastAsiaTheme="minorHAnsi"/>
        </w:rPr>
        <w:t xml:space="preserve">Une nomenclature supprimée logiquement dans une version noyau voit tous les codes de nomenclature qui lui sont associés supprimés logiquement. </w:t>
      </w:r>
    </w:p>
    <w:p>
      <w:pPr>
        <w:pStyle w:val="Textebrut"/>
        <w:ind w:left="7"/>
        <w:jc w:val="both"/>
        <w:rPr>
          <w:rFonts w:ascii="Arial" w:hAnsi="Arial" w:cs="Arial"/>
          <w:sz w:val="20"/>
          <w:szCs w:val="20"/>
        </w:rPr>
      </w:pPr>
    </w:p>
    <w:p>
      <w:pPr>
        <w:pStyle w:val="Textebrut"/>
        <w:ind w:left="7"/>
        <w:jc w:val="both"/>
        <w:rPr>
          <w:rFonts w:ascii="Arial" w:hAnsi="Arial" w:cs="Arial"/>
          <w:b/>
          <w:sz w:val="20"/>
          <w:szCs w:val="20"/>
        </w:rPr>
      </w:pPr>
      <w:r>
        <w:rPr>
          <w:rFonts w:ascii="Arial" w:hAnsi="Arial" w:cs="Arial"/>
          <w:b/>
          <w:sz w:val="20"/>
          <w:szCs w:val="20"/>
        </w:rPr>
        <w:t>Point d’attention :</w:t>
      </w:r>
    </w:p>
    <w:p>
      <w:pPr>
        <w:ind w:left="1"/>
        <w:jc w:val="both"/>
      </w:pPr>
      <w:r>
        <w:rPr>
          <w:rFonts w:eastAsiaTheme="minorHAnsi"/>
        </w:rPr>
        <w:t>Une analyse visant à identifier les impacts de ces suppressions sur le SI destinataire devra systématiquement être réalisée avant que l’import soit effectué.</w:t>
      </w:r>
    </w:p>
    <w:p>
      <w:pPr>
        <w:ind w:left="1"/>
      </w:pPr>
    </w:p>
    <w:p>
      <w:pPr>
        <w:pStyle w:val="Titre2"/>
      </w:pPr>
      <w:bookmarkStart w:id="70" w:name="__RefHeading__1591_1378251362"/>
      <w:bookmarkStart w:id="71" w:name="__RefHeading__18836_31150173611111111111"/>
      <w:bookmarkStart w:id="72" w:name="__RefHeading__1595_1378251362"/>
      <w:bookmarkStart w:id="73" w:name="__RefHeading__1599_1378251362"/>
      <w:bookmarkStart w:id="74" w:name="__RefHeading__1601_1378251362"/>
      <w:bookmarkStart w:id="75" w:name="__RefHeading__19301_311501736"/>
      <w:bookmarkStart w:id="76" w:name="__RefHeading__18838_311501736"/>
      <w:bookmarkStart w:id="77" w:name="__RefHeading__1607_1378251362"/>
      <w:bookmarkStart w:id="78" w:name="__RefHeading__2127_1378251362"/>
      <w:bookmarkStart w:id="79" w:name="__RefHeading__19890_1827164272"/>
      <w:bookmarkStart w:id="80" w:name="__RefHeading__20291_1827164272"/>
      <w:bookmarkStart w:id="81" w:name="__RefHeading__20880_1827164272"/>
      <w:bookmarkStart w:id="82" w:name="__RefHeading__19303_311501736"/>
      <w:bookmarkStart w:id="83" w:name="__RefHeading__18840_311501736"/>
      <w:bookmarkStart w:id="84" w:name="__RefHeading__1609_1378251362"/>
      <w:bookmarkStart w:id="85" w:name="__RefHeading__2129_1378251362"/>
      <w:bookmarkStart w:id="86" w:name="__RefHeading__19892_1827164272"/>
      <w:bookmarkStart w:id="87" w:name="__RefHeading__20293_1827164272"/>
      <w:bookmarkStart w:id="88" w:name="__RefHeading__20882_1827164272"/>
      <w:bookmarkStart w:id="89" w:name="__RefHeading__1615_1378251362"/>
      <w:bookmarkStart w:id="90" w:name="_Toc20761129"/>
      <w:bookmarkStart w:id="91" w:name="_Toc42048624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Structure des fichiers</w:t>
      </w:r>
      <w:bookmarkEnd w:id="90"/>
    </w:p>
    <w:p>
      <w:pPr>
        <w:ind w:left="1"/>
        <w:jc w:val="both"/>
        <w:rPr>
          <w:b/>
          <w:bCs/>
        </w:rPr>
      </w:pPr>
      <w:r>
        <w:t>Un transfert de fichiers relatifs à une version du noyau RH FPE contient systématiquement deux types de fichiers transmis dans une archive ZIP sans extension:</w:t>
      </w:r>
    </w:p>
    <w:p>
      <w:pPr>
        <w:pStyle w:val="ONPCorpsdetexte"/>
        <w:numPr>
          <w:ilvl w:val="0"/>
          <w:numId w:val="13"/>
        </w:numPr>
        <w:tabs>
          <w:tab w:val="clear" w:pos="788"/>
          <w:tab w:val="num" w:pos="677"/>
        </w:tabs>
        <w:ind w:left="676"/>
        <w:jc w:val="both"/>
        <w:rPr>
          <w:b/>
          <w:bCs/>
        </w:rPr>
      </w:pPr>
      <w:r>
        <w:rPr>
          <w:b/>
          <w:bCs/>
        </w:rPr>
        <w:t xml:space="preserve">1 fichier « Chapeau » </w:t>
      </w:r>
      <w:r>
        <w:t xml:space="preserve">contenant les informations décrivant la diffusion (ex. version de diffusion, identifiant du transfert, liste de fichiers INGRES, identifiant du SI cible, etc.). </w:t>
      </w:r>
    </w:p>
    <w:p>
      <w:pPr>
        <w:pStyle w:val="ONPCorpsdetexte"/>
        <w:numPr>
          <w:ilvl w:val="0"/>
          <w:numId w:val="13"/>
        </w:numPr>
        <w:tabs>
          <w:tab w:val="clear" w:pos="788"/>
          <w:tab w:val="num" w:pos="677"/>
        </w:tabs>
        <w:ind w:left="676"/>
        <w:jc w:val="both"/>
      </w:pPr>
      <w:r>
        <w:rPr>
          <w:b/>
          <w:bCs/>
        </w:rPr>
        <w:t xml:space="preserve">N fichiers « Référentiel », </w:t>
      </w:r>
      <w:r>
        <w:rPr>
          <w:bCs/>
        </w:rPr>
        <w:t>chaque fichier</w:t>
      </w:r>
      <w:r>
        <w:rPr>
          <w:b/>
          <w:bCs/>
        </w:rPr>
        <w:t xml:space="preserve"> </w:t>
      </w:r>
      <w:r>
        <w:t>restituant le contenu d'une nomenclature.</w:t>
      </w:r>
    </w:p>
    <w:p>
      <w:pPr>
        <w:pStyle w:val="ONPCorpsdetexte"/>
        <w:ind w:left="676"/>
        <w:jc w:val="both"/>
      </w:pPr>
    </w:p>
    <w:p>
      <w:pPr>
        <w:pStyle w:val="ONPCorpsdetexte"/>
        <w:tabs>
          <w:tab w:val="left" w:pos="0"/>
          <w:tab w:val="left" w:pos="567"/>
        </w:tabs>
        <w:ind w:left="1"/>
        <w:jc w:val="both"/>
      </w:pPr>
      <w:r>
        <w:t xml:space="preserve">Les fichiers diffusés sont au format XML. </w:t>
      </w:r>
    </w:p>
    <w:p>
      <w:pPr>
        <w:pStyle w:val="ONPCorpsdetexte"/>
        <w:tabs>
          <w:tab w:val="left" w:pos="0"/>
        </w:tabs>
        <w:ind w:left="1"/>
        <w:jc w:val="both"/>
      </w:pPr>
      <w:r>
        <w:t>L’encodage utilisé lors de l’écriture des fichiers est « </w:t>
      </w:r>
      <w:r>
        <w:rPr>
          <w:bCs/>
        </w:rPr>
        <w:t>ISO-8859-15</w:t>
      </w:r>
      <w:r>
        <w:t> ».</w:t>
      </w:r>
    </w:p>
    <w:p>
      <w:pPr>
        <w:pStyle w:val="ONPCorpsdetexte"/>
        <w:tabs>
          <w:tab w:val="left" w:pos="0"/>
        </w:tabs>
        <w:ind w:left="1"/>
        <w:jc w:val="both"/>
      </w:pPr>
      <w:r>
        <w:t>Le format et l’encodage sont les mêmes pour tous les SI Clients.</w:t>
      </w:r>
    </w:p>
    <w:p>
      <w:pPr>
        <w:pStyle w:val="ONPCorpsdetexte"/>
        <w:tabs>
          <w:tab w:val="left" w:pos="0"/>
        </w:tabs>
        <w:ind w:left="1"/>
      </w:pPr>
    </w:p>
    <w:p>
      <w:pPr>
        <w:ind w:left="1"/>
      </w:pPr>
    </w:p>
    <w:p>
      <w:pPr>
        <w:pStyle w:val="Titre30"/>
        <w:rPr>
          <w:bCs/>
        </w:rPr>
      </w:pPr>
      <w:bookmarkStart w:id="92" w:name="_Toc420486250"/>
      <w:bookmarkEnd w:id="91"/>
      <w:r>
        <w:t>Structure du fichier « Chapeau »</w:t>
      </w:r>
      <w:bookmarkEnd w:id="92"/>
    </w:p>
    <w:p>
      <w:pPr>
        <w:pStyle w:val="ONPCorpsdetexte"/>
        <w:ind w:left="1"/>
      </w:pPr>
      <w:r>
        <w:rPr>
          <w:b/>
          <w:bCs/>
        </w:rPr>
        <w:t>Le fichier « Chapeau »</w:t>
      </w:r>
      <w:r>
        <w:t xml:space="preserve"> contient les éléments suivants : </w:t>
      </w:r>
    </w:p>
    <w:p>
      <w:pPr>
        <w:pStyle w:val="ONPCorpsdetexte"/>
        <w:ind w:left="1"/>
        <w:jc w:val="center"/>
        <w:rPr>
          <w:i/>
          <w:iCs/>
          <w:sz w:val="20"/>
        </w:rPr>
      </w:pPr>
      <w:r>
        <w:br/>
      </w:r>
    </w:p>
    <w:p>
      <w:pPr>
        <w:pStyle w:val="ONPCorpsdetexte"/>
        <w:ind w:left="1"/>
        <w:jc w:val="center"/>
        <w:rPr>
          <w:i/>
          <w:iCs/>
          <w:sz w:val="20"/>
        </w:rPr>
      </w:pPr>
      <w:r>
        <w:rPr>
          <w:i/>
          <w:iCs/>
          <w:noProof/>
          <w:sz w:val="20"/>
          <w:lang w:eastAsia="fr-FR"/>
        </w:rPr>
        <w:lastRenderedPageBreak/>
        <w:drawing>
          <wp:inline distT="0" distB="0" distL="0" distR="0">
            <wp:extent cx="2782425" cy="3478031"/>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au.png"/>
                    <pic:cNvPicPr/>
                  </pic:nvPicPr>
                  <pic:blipFill>
                    <a:blip r:embed="rId22">
                      <a:extLst>
                        <a:ext uri="{28A0092B-C50C-407E-A947-70E740481C1C}">
                          <a14:useLocalDpi xmlns:a14="http://schemas.microsoft.com/office/drawing/2010/main" val="0"/>
                        </a:ext>
                      </a:extLst>
                    </a:blip>
                    <a:stretch>
                      <a:fillRect/>
                    </a:stretch>
                  </pic:blipFill>
                  <pic:spPr>
                    <a:xfrm>
                      <a:off x="0" y="0"/>
                      <a:ext cx="2782425" cy="3478031"/>
                    </a:xfrm>
                    <a:prstGeom prst="rect">
                      <a:avLst/>
                    </a:prstGeom>
                  </pic:spPr>
                </pic:pic>
              </a:graphicData>
            </a:graphic>
          </wp:inline>
        </w:drawing>
      </w:r>
    </w:p>
    <w:p>
      <w:pPr>
        <w:pStyle w:val="ONPCorpsdetexte"/>
        <w:ind w:left="1"/>
        <w:jc w:val="center"/>
      </w:pPr>
      <w:r>
        <w:rPr>
          <w:i/>
          <w:iCs/>
          <w:sz w:val="20"/>
        </w:rPr>
        <w:t>Illustration du fichier « Chapeau »</w:t>
      </w:r>
    </w:p>
    <w:p>
      <w:pPr>
        <w:pStyle w:val="ONPCorpsdetexte"/>
        <w:ind w:left="248"/>
      </w:pPr>
    </w:p>
    <w:p>
      <w:pPr>
        <w:numPr>
          <w:ilvl w:val="0"/>
          <w:numId w:val="53"/>
        </w:numPr>
        <w:tabs>
          <w:tab w:val="clear" w:pos="0"/>
          <w:tab w:val="num" w:pos="1"/>
        </w:tabs>
        <w:jc w:val="both"/>
      </w:pPr>
      <w:r>
        <w:t>La version de diffusion (balise XML &lt;VERSION_DIFFUSION&gt;) correspond à la version du Noyau RH FPE diffusée.</w:t>
      </w:r>
    </w:p>
    <w:p>
      <w:pPr>
        <w:pStyle w:val="ONPCorpsdetexte"/>
        <w:numPr>
          <w:ilvl w:val="0"/>
          <w:numId w:val="17"/>
        </w:numPr>
        <w:tabs>
          <w:tab w:val="clear" w:pos="720"/>
          <w:tab w:val="num" w:pos="721"/>
        </w:tabs>
        <w:jc w:val="both"/>
      </w:pPr>
      <w:r>
        <w:t>La version de structure correspond à la version du format XML dans laquelle a été faite la diffusion (balise XML &lt;VERSION_FORMAT_XML&gt;</w:t>
      </w:r>
    </w:p>
    <w:p>
      <w:pPr>
        <w:pStyle w:val="ONPCorpsdetexte"/>
        <w:numPr>
          <w:ilvl w:val="0"/>
          <w:numId w:val="17"/>
        </w:numPr>
        <w:tabs>
          <w:tab w:val="clear" w:pos="720"/>
          <w:tab w:val="num" w:pos="721"/>
        </w:tabs>
        <w:jc w:val="both"/>
      </w:pPr>
      <w:r>
        <w:t>L’identifiant de diffusion (balise XML &lt;ID_DIFFUSION&gt;) a vocation à permettre de définir de manière unique une programmation de diffusion pour un ou plusieurs SI Client.  Il permettra, en cible, d’identifier les différents ZIP appartenant à une même diffusion. Les différentes archives générées par INGRES  lors d'une même diffusion présenteront toutes le même identifiant de diffusion et chacune leur propre identifiant de transfert. Aujourd'hui, cette information est valorisée par défaut à 0000001.</w:t>
      </w:r>
    </w:p>
    <w:p>
      <w:pPr>
        <w:pStyle w:val="ONPCorpsdetexte"/>
        <w:numPr>
          <w:ilvl w:val="0"/>
          <w:numId w:val="17"/>
        </w:numPr>
        <w:tabs>
          <w:tab w:val="clear" w:pos="720"/>
          <w:tab w:val="num" w:pos="721"/>
        </w:tabs>
        <w:jc w:val="both"/>
      </w:pPr>
      <w:r>
        <w:t>L’identifiant du transfert (balise XML &lt;ID_TRANSFERT&gt;) sera, en cible, valorisé automatiquement à chaque génération de fichier. Il permettra de définir de manière unique une archive envoyée par INGRES ainsi que l'ensemble des fichiers constituant cette archive. Cet identifiant pourra être utilisé, pour différencier les envois successifs des fichiers d’une même version de diffusion de la nomenclature aux SI Partenaires. Il est aujourd'hui systématiquement valorisé par défaut à 0000002.</w:t>
      </w:r>
    </w:p>
    <w:p>
      <w:pPr>
        <w:pStyle w:val="ONPCorpsdetexte"/>
        <w:numPr>
          <w:ilvl w:val="0"/>
          <w:numId w:val="17"/>
        </w:numPr>
        <w:tabs>
          <w:tab w:val="clear" w:pos="720"/>
          <w:tab w:val="num" w:pos="721"/>
        </w:tabs>
        <w:jc w:val="both"/>
      </w:pPr>
      <w:r>
        <w:t>Le code du SI Cible (balise XML &lt;CIBLE&gt;). La liste des différents codes déjà définis est présentée dans le §</w:t>
      </w:r>
      <w:hyperlink w:anchor="_SI_clients" w:history="1">
        <w:r>
          <w:rPr>
            <w:rStyle w:val="Lienhypertexte"/>
            <w:lang w:val="fr-FR"/>
          </w:rPr>
          <w:t>SI clients</w:t>
        </w:r>
      </w:hyperlink>
      <w:r>
        <w:t xml:space="preserve">. </w:t>
      </w:r>
    </w:p>
    <w:p>
      <w:pPr>
        <w:pStyle w:val="ONPCorpsdetexte"/>
        <w:numPr>
          <w:ilvl w:val="0"/>
          <w:numId w:val="17"/>
        </w:numPr>
        <w:tabs>
          <w:tab w:val="clear" w:pos="720"/>
          <w:tab w:val="num" w:pos="721"/>
        </w:tabs>
        <w:jc w:val="both"/>
      </w:pPr>
      <w:r>
        <w:t>La date de la diffusion associée au transfert de fichiers (balise XML &lt;DATE_DIFFUSION&gt;),</w:t>
      </w:r>
    </w:p>
    <w:p>
      <w:pPr>
        <w:pStyle w:val="ONPCorpsdetexte"/>
        <w:numPr>
          <w:ilvl w:val="0"/>
          <w:numId w:val="17"/>
        </w:numPr>
        <w:tabs>
          <w:tab w:val="clear" w:pos="720"/>
          <w:tab w:val="num" w:pos="721"/>
        </w:tabs>
        <w:jc w:val="both"/>
      </w:pPr>
      <w:r>
        <w:lastRenderedPageBreak/>
        <w:t>La liste des fichiers diffusés (balise XML &lt;FICHIER&gt;).</w:t>
      </w:r>
    </w:p>
    <w:p>
      <w:pPr>
        <w:ind w:left="1"/>
        <w:jc w:val="both"/>
        <w:rPr>
          <w:rFonts w:cs="Arial"/>
        </w:rPr>
      </w:pPr>
    </w:p>
    <w:p>
      <w:pPr>
        <w:ind w:left="1"/>
        <w:jc w:val="both"/>
      </w:pPr>
      <w:r>
        <w:t xml:space="preserve">Un exemple de format de fichier INGRES « Chapeau » est présenté en annexe </w:t>
      </w:r>
      <w:hyperlink w:anchor="_Exemples_de_fichiers" w:history="1">
        <w:r>
          <w:rPr>
            <w:rStyle w:val="Lienhypertexte"/>
            <w:lang w:val="fr-FR"/>
          </w:rPr>
          <w:t>Exemples de fichiers</w:t>
        </w:r>
      </w:hyperlink>
      <w:r>
        <w:t>.</w:t>
      </w:r>
    </w:p>
    <w:p>
      <w:pPr>
        <w:ind w:left="1"/>
        <w:jc w:val="both"/>
      </w:pPr>
    </w:p>
    <w:p>
      <w:pPr>
        <w:ind w:left="1"/>
        <w:jc w:val="both"/>
        <w:rPr>
          <w:b/>
        </w:rPr>
      </w:pPr>
      <w:r>
        <w:rPr>
          <w:b/>
        </w:rPr>
        <w:t xml:space="preserve">Points d’attention : </w:t>
      </w:r>
    </w:p>
    <w:p>
      <w:pPr>
        <w:pStyle w:val="ONPCorpsdetexte"/>
        <w:numPr>
          <w:ilvl w:val="0"/>
          <w:numId w:val="17"/>
        </w:numPr>
        <w:tabs>
          <w:tab w:val="clear" w:pos="720"/>
          <w:tab w:val="num" w:pos="608"/>
        </w:tabs>
        <w:ind w:left="608"/>
        <w:jc w:val="both"/>
      </w:pPr>
      <w:r>
        <w:t>La version du format (balise XML &lt;VERSION_FORMAT_XML &gt;) n’était pas présente dans les spécifications d’interface initiales. Elle a été ajoutée suite à l’ajout de la fonctionnalité permettant la diffusion du contenu des nomenclatures dans plusieurs versions de format XML.</w:t>
      </w:r>
    </w:p>
    <w:p>
      <w:pPr>
        <w:pStyle w:val="ONPCorpsdetexte"/>
        <w:numPr>
          <w:ilvl w:val="0"/>
          <w:numId w:val="17"/>
        </w:numPr>
        <w:tabs>
          <w:tab w:val="clear" w:pos="720"/>
          <w:tab w:val="num" w:pos="608"/>
        </w:tabs>
        <w:ind w:left="608"/>
        <w:jc w:val="both"/>
      </w:pPr>
      <w:r>
        <w:t xml:space="preserve">La version d’origine (balise XML &lt;VERSION_ORIGINE&gt;)  était initialement prévue dans l’entête du fichier car la diffusion d’une nomenclature en mode différentiel devait être réalisée depuis une version d’origine vers une version de diffusion. </w:t>
      </w:r>
    </w:p>
    <w:p>
      <w:pPr>
        <w:pStyle w:val="ONPCorpsdetexte"/>
        <w:ind w:left="608"/>
        <w:jc w:val="both"/>
      </w:pPr>
      <w:r>
        <w:t>Aujourd'hui, la fonctionnalité n’est pas mise en œuvre et la balise (initialement décrite comme facultative dans les spécifications) n’est plus diffusée. En mode différentiel, seuls les items mis à jour dans la version noyau faisant l’objet de la diffusion sont présents dans les fichiers.</w:t>
      </w:r>
    </w:p>
    <w:p>
      <w:pPr>
        <w:ind w:left="1"/>
      </w:pPr>
    </w:p>
    <w:p>
      <w:pPr>
        <w:pStyle w:val="Titre30"/>
        <w:rPr>
          <w:bCs/>
        </w:rPr>
      </w:pPr>
      <w:bookmarkStart w:id="93" w:name="_Toc420486251"/>
      <w:r>
        <w:t>Structure des fichiers INGRES – Fichier « Référentiel »</w:t>
      </w:r>
      <w:bookmarkEnd w:id="93"/>
    </w:p>
    <w:p>
      <w:pPr>
        <w:pStyle w:val="ONPCorpsdetexte"/>
        <w:ind w:left="1"/>
        <w:rPr>
          <w:b/>
          <w:bCs/>
        </w:rPr>
      </w:pPr>
    </w:p>
    <w:p>
      <w:pPr>
        <w:pStyle w:val="ONPCorpsdetexte"/>
        <w:ind w:left="1"/>
        <w:jc w:val="both"/>
      </w:pPr>
      <w:r>
        <w:t xml:space="preserve">Un fichier «Référentiel » concerne une seule nomenclature. Il est composé de deux zones de données : une zone d’entête et une zone de données de mise à jour. </w:t>
      </w:r>
    </w:p>
    <w:p>
      <w:pPr>
        <w:ind w:left="1"/>
        <w:jc w:val="both"/>
      </w:pPr>
      <w:r>
        <w:rPr>
          <w:b/>
          <w:bCs/>
        </w:rPr>
        <w:t>Remarque :</w:t>
      </w:r>
      <w:r>
        <w:t xml:space="preserve"> un fichier ZIP diffusé  peut contenir  1 à N fichiers « Référentiel ».</w:t>
      </w:r>
    </w:p>
    <w:p>
      <w:pPr>
        <w:pStyle w:val="ONPCorpsdetexte"/>
        <w:ind w:left="1"/>
        <w:rPr>
          <w:b/>
          <w:bCs/>
        </w:rPr>
      </w:pPr>
    </w:p>
    <w:p>
      <w:pPr>
        <w:pStyle w:val="ONPCorpsdetexte"/>
        <w:keepNext/>
      </w:pPr>
      <w:r>
        <w:rPr>
          <w:b/>
          <w:bCs/>
        </w:rPr>
        <w:lastRenderedPageBreak/>
        <w:t xml:space="preserve">Le fichier « Référentiel » </w:t>
      </w:r>
      <w:r>
        <w:t xml:space="preserve"> est structuré selon le schéma ci-dessous. </w:t>
      </w:r>
    </w:p>
    <w:p>
      <w:pPr>
        <w:pStyle w:val="ONPCorpsdetexte"/>
        <w:keepNext/>
        <w:jc w:val="center"/>
      </w:pPr>
      <w:r>
        <w:rPr>
          <w:rFonts w:ascii="Arial" w:hAnsi="Arial" w:cs="Times New Roman"/>
          <w:noProof/>
          <w:sz w:val="16"/>
          <w:szCs w:val="16"/>
          <w:lang w:eastAsia="fr-FR"/>
        </w:rPr>
        <w:drawing>
          <wp:inline distT="0" distB="0" distL="0" distR="0">
            <wp:extent cx="5851525" cy="389191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png"/>
                    <pic:cNvPicPr/>
                  </pic:nvPicPr>
                  <pic:blipFill>
                    <a:blip r:embed="rId23">
                      <a:extLst>
                        <a:ext uri="{28A0092B-C50C-407E-A947-70E740481C1C}">
                          <a14:useLocalDpi xmlns:a14="http://schemas.microsoft.com/office/drawing/2010/main" val="0"/>
                        </a:ext>
                      </a:extLst>
                    </a:blip>
                    <a:stretch>
                      <a:fillRect/>
                    </a:stretch>
                  </pic:blipFill>
                  <pic:spPr>
                    <a:xfrm>
                      <a:off x="0" y="0"/>
                      <a:ext cx="5851525" cy="3891915"/>
                    </a:xfrm>
                    <a:prstGeom prst="rect">
                      <a:avLst/>
                    </a:prstGeom>
                  </pic:spPr>
                </pic:pic>
              </a:graphicData>
            </a:graphic>
          </wp:inline>
        </w:drawing>
      </w:r>
      <w:r>
        <w:tab/>
      </w:r>
      <w:r>
        <w:rPr>
          <w:i/>
          <w:iCs/>
          <w:sz w:val="20"/>
        </w:rPr>
        <w:t>Illustration du fichier « Référentiel »</w:t>
      </w:r>
    </w:p>
    <w:p>
      <w:pPr>
        <w:pStyle w:val="ONPCorpsdetexte"/>
        <w:ind w:left="1"/>
      </w:pPr>
    </w:p>
    <w:p>
      <w:pPr>
        <w:pStyle w:val="Titre4"/>
      </w:pPr>
      <w:bookmarkStart w:id="94" w:name="_Toc420486252"/>
      <w:r>
        <w:t>Zone « Entête »</w:t>
      </w:r>
      <w:bookmarkEnd w:id="94"/>
    </w:p>
    <w:p>
      <w:pPr>
        <w:pStyle w:val="ONPCorpsdetexte"/>
        <w:ind w:left="1"/>
        <w:jc w:val="both"/>
      </w:pPr>
      <w:r>
        <w:t xml:space="preserve">L’entête est constitué d’éléments permettant d’identifier : </w:t>
      </w:r>
    </w:p>
    <w:p>
      <w:pPr>
        <w:pStyle w:val="Paragraphedeliste"/>
        <w:numPr>
          <w:ilvl w:val="0"/>
          <w:numId w:val="211"/>
        </w:numPr>
        <w:jc w:val="both"/>
      </w:pPr>
      <w:r>
        <w:t xml:space="preserve">La version de diffusion (balise XML &lt;VERSION_DIFFUSION&gt;) correspond à la version du Noyau RH FPE diffusée. </w:t>
      </w:r>
    </w:p>
    <w:p>
      <w:pPr>
        <w:pStyle w:val="Paragraphedeliste"/>
        <w:numPr>
          <w:ilvl w:val="0"/>
          <w:numId w:val="211"/>
        </w:numPr>
        <w:jc w:val="both"/>
      </w:pPr>
      <w:r>
        <w:t>La version de structure correspond à la version du format XML dans laquelle a été faite la diffusion (balise XML &lt;VERSION_FORMAT_XML&gt;</w:t>
      </w:r>
    </w:p>
    <w:p>
      <w:pPr>
        <w:pStyle w:val="Paragraphedeliste"/>
        <w:numPr>
          <w:ilvl w:val="0"/>
          <w:numId w:val="211"/>
        </w:numPr>
        <w:jc w:val="both"/>
      </w:pPr>
      <w:r>
        <w:t>L’identifiant de diffusion (balise XML &lt;ID_DIFFUSION&gt;),</w:t>
      </w:r>
    </w:p>
    <w:p>
      <w:pPr>
        <w:pStyle w:val="Paragraphedeliste"/>
        <w:numPr>
          <w:ilvl w:val="0"/>
          <w:numId w:val="211"/>
        </w:numPr>
        <w:jc w:val="both"/>
      </w:pPr>
      <w:r>
        <w:t>L’identifiant du transfert (balise XML &lt;ID_TRANSFERT&gt;),</w:t>
      </w:r>
    </w:p>
    <w:p>
      <w:pPr>
        <w:pStyle w:val="Paragraphedeliste"/>
        <w:numPr>
          <w:ilvl w:val="0"/>
          <w:numId w:val="211"/>
        </w:numPr>
        <w:jc w:val="both"/>
      </w:pPr>
      <w:r>
        <w:t xml:space="preserve">Le code noyau du référentiel transmis (balise XML &lt;ID_REF&gt;)  </w:t>
      </w:r>
    </w:p>
    <w:p>
      <w:pPr>
        <w:pStyle w:val="Paragraphedeliste"/>
        <w:numPr>
          <w:ilvl w:val="0"/>
          <w:numId w:val="211"/>
        </w:numPr>
        <w:jc w:val="both"/>
      </w:pPr>
      <w:r>
        <w:t>Le mode de synchronisation </w:t>
      </w:r>
    </w:p>
    <w:p>
      <w:pPr>
        <w:pStyle w:val="Paragraphedeliste"/>
        <w:numPr>
          <w:ilvl w:val="1"/>
          <w:numId w:val="211"/>
        </w:numPr>
        <w:jc w:val="both"/>
      </w:pPr>
      <w:r>
        <w:t>Lors d’une mise à jour d’une nomenclature en mode différentiel, le champ « Mode de synchronisation » (balise XML  &lt;MODE_MAJ/&gt;) devra porter la valeur « D » (Mode différentiel).</w:t>
      </w:r>
    </w:p>
    <w:p>
      <w:pPr>
        <w:pStyle w:val="Paragraphedeliste"/>
        <w:numPr>
          <w:ilvl w:val="1"/>
          <w:numId w:val="211"/>
        </w:numPr>
        <w:jc w:val="both"/>
      </w:pPr>
      <w:r>
        <w:t>Lors d’une mise à jour d’une nomenclature en mode complet, ce champ devra porter la valeur « C » (Mode complet).</w:t>
      </w:r>
    </w:p>
    <w:p>
      <w:pPr>
        <w:pStyle w:val="Paragraphedeliste"/>
        <w:numPr>
          <w:ilvl w:val="0"/>
          <w:numId w:val="211"/>
        </w:numPr>
        <w:jc w:val="both"/>
      </w:pPr>
      <w:r>
        <w:lastRenderedPageBreak/>
        <w:t>Le nombre de situations de nomenclature diffusées balise XML &lt; NB_SIT_NOM&gt;</w:t>
      </w:r>
    </w:p>
    <w:p>
      <w:pPr>
        <w:pStyle w:val="ONPCorpsdetexte"/>
        <w:ind w:left="608"/>
        <w:jc w:val="both"/>
      </w:pPr>
    </w:p>
    <w:p>
      <w:pPr>
        <w:pStyle w:val="ONPCorpsdetexte"/>
        <w:ind w:left="1"/>
        <w:jc w:val="both"/>
      </w:pPr>
      <w:r>
        <w:rPr>
          <w:b/>
        </w:rPr>
        <w:t>Points d’attention</w:t>
      </w:r>
      <w:r>
        <w:t xml:space="preserve"> : </w:t>
      </w:r>
    </w:p>
    <w:p>
      <w:pPr>
        <w:pStyle w:val="ONPCorpsdetexte"/>
        <w:numPr>
          <w:ilvl w:val="0"/>
          <w:numId w:val="17"/>
        </w:numPr>
        <w:tabs>
          <w:tab w:val="clear" w:pos="720"/>
          <w:tab w:val="num" w:pos="608"/>
        </w:tabs>
        <w:ind w:left="608"/>
        <w:jc w:val="both"/>
      </w:pPr>
      <w:r>
        <w:t>la balise XML &lt;VERSION_FORMAT_XML &gt; n’était pas présente dans les spécifications d’interface initiales. Elle a été ajoutée suite à l’ajout de la fonctionnalité permettant la diffusion du contenu des nomenclatures dans 3 versions de format XML maximum.</w:t>
      </w:r>
    </w:p>
    <w:p>
      <w:pPr>
        <w:pStyle w:val="ONPCorpsdetexte"/>
        <w:numPr>
          <w:ilvl w:val="0"/>
          <w:numId w:val="17"/>
        </w:numPr>
        <w:tabs>
          <w:tab w:val="clear" w:pos="720"/>
          <w:tab w:val="num" w:pos="608"/>
        </w:tabs>
        <w:ind w:left="608"/>
        <w:jc w:val="both"/>
      </w:pPr>
      <w:r>
        <w:t>La balise XML &lt;VERSION_ORIGINE&gt;, initialement présente dans l’entête  des fichiers n’apparait plus car n’est plus utile.</w:t>
      </w:r>
    </w:p>
    <w:p>
      <w:pPr>
        <w:pStyle w:val="Titre4"/>
      </w:pPr>
      <w:bookmarkStart w:id="95" w:name="_Toc420486253"/>
      <w:r>
        <w:t xml:space="preserve"> Zone « Données de mise à jour »</w:t>
      </w:r>
      <w:bookmarkEnd w:id="95"/>
      <w:r>
        <w:t> </w:t>
      </w:r>
    </w:p>
    <w:p>
      <w:pPr>
        <w:ind w:left="1"/>
        <w:jc w:val="both"/>
      </w:pPr>
      <w:r>
        <w:t xml:space="preserve">Cette zone contient des blocs de « situation de nomenclature ». </w:t>
      </w:r>
    </w:p>
    <w:p>
      <w:pPr>
        <w:ind w:left="1"/>
        <w:jc w:val="both"/>
      </w:pPr>
      <w:r>
        <w:t>Le format de chaque situation de nomenclature est spécifique à un format de nomenclature donné. L’identifiant du format associé à la nomenclature diffusé (exemple : R_GRILLE_IND) est porté par le bloc « situation de nomenclature ».</w:t>
      </w:r>
    </w:p>
    <w:p>
      <w:pPr>
        <w:pStyle w:val="ONPCorpsdetexte"/>
        <w:ind w:left="1"/>
        <w:jc w:val="both"/>
      </w:pPr>
      <w:r>
        <w:t>Chaque bloc « situation de nomenclature » contient les attributs constitutifs du format de la nomenclature et ce quel que soit le mode de synchronisation utilisé (complet ou différentiel).</w:t>
      </w:r>
    </w:p>
    <w:p>
      <w:pPr>
        <w:pStyle w:val="ONPCorpsdetexte"/>
        <w:ind w:left="1"/>
        <w:jc w:val="both"/>
      </w:pPr>
      <w:r>
        <w:rPr>
          <w:b/>
        </w:rPr>
        <w:t>Exemple</w:t>
      </w:r>
      <w:r>
        <w:t> : Pour la nomenclature POSITION_SITUATION dont l’identifiant du format est  R_POSITION_SITUATION, les attributs associés présents dans le fichier « Référentiel » sont : R_FOR_IDENT05, R_FOR_LIBABR,  R_FOR_LIBCOU, R_FOR_LIBLON, R_FOR_LIBIMP, R_REL_TYPPOP, R_ADM_POPAYE, R_FOR_DATDEB, R_FOR_DATFIN,  R_REL_PSAG1 et R_REL_PSAG2.</w:t>
      </w:r>
    </w:p>
    <w:p>
      <w:pPr>
        <w:pStyle w:val="ONPCorpsdetexte"/>
        <w:ind w:left="1"/>
        <w:jc w:val="both"/>
      </w:pPr>
      <w:r>
        <w:t>Dans cet exemple, ces balises sont les mêmes dans les versions de format XML 00.04.00 et 00.05.10 car le format de la nomenclature POSITION_SITUATION n’a pas évolué entre les deux versions du noyau.</w:t>
      </w:r>
    </w:p>
    <w:p>
      <w:pPr>
        <w:pStyle w:val="ONPCorpsdetexte"/>
        <w:ind w:left="1"/>
        <w:jc w:val="both"/>
      </w:pPr>
    </w:p>
    <w:p>
      <w:pPr>
        <w:pStyle w:val="ONPCorpsdetexte"/>
        <w:ind w:left="1"/>
        <w:jc w:val="both"/>
      </w:pPr>
      <w:r>
        <w:t>Ainsi, si la structure de la zone « ENTETE » est commune à tous les fichiers, celle de la zone « Données de mise à jour » est :</w:t>
      </w:r>
    </w:p>
    <w:p>
      <w:pPr>
        <w:pStyle w:val="ONPCorpsdetexte"/>
        <w:numPr>
          <w:ilvl w:val="0"/>
          <w:numId w:val="17"/>
        </w:numPr>
        <w:tabs>
          <w:tab w:val="clear" w:pos="720"/>
          <w:tab w:val="num" w:pos="608"/>
        </w:tabs>
        <w:ind w:left="608"/>
        <w:jc w:val="both"/>
      </w:pPr>
      <w:r>
        <w:t>Spécifique à chaque nomenclature multi-structure</w:t>
      </w:r>
    </w:p>
    <w:p>
      <w:pPr>
        <w:pStyle w:val="ONPCorpsdetexte"/>
        <w:numPr>
          <w:ilvl w:val="0"/>
          <w:numId w:val="17"/>
        </w:numPr>
        <w:tabs>
          <w:tab w:val="clear" w:pos="720"/>
          <w:tab w:val="num" w:pos="608"/>
        </w:tabs>
        <w:ind w:left="608"/>
        <w:jc w:val="both"/>
      </w:pPr>
      <w:r>
        <w:t xml:space="preserve">Commune aux nomenclatures  génériques présentant  un code identifiant de longueur identique.  Par exemple les nomenclatures décrites dans le Noyau comme présentant un "Format simple de table" dont l'identifiant est sur 5 caractères (R_FOR_GENERIQ05) présenteront toutes une structure de la zone "DONNEES_MAJ" identiques.  </w:t>
      </w:r>
    </w:p>
    <w:p>
      <w:pPr>
        <w:pStyle w:val="ONPCorpsdetexte"/>
        <w:numPr>
          <w:ilvl w:val="0"/>
          <w:numId w:val="17"/>
        </w:numPr>
        <w:tabs>
          <w:tab w:val="clear" w:pos="720"/>
          <w:tab w:val="num" w:pos="608"/>
        </w:tabs>
        <w:ind w:left="608"/>
        <w:jc w:val="both"/>
      </w:pPr>
      <w:r>
        <w:t>Commune aux nomenclatures génériques dites « booléen » ayant un code identifiant de même longueur (par exemple R_FOR_GEN_BOO01)</w:t>
      </w:r>
    </w:p>
    <w:p>
      <w:pPr>
        <w:pStyle w:val="ONPCorpsdetexte"/>
        <w:numPr>
          <w:ilvl w:val="0"/>
          <w:numId w:val="17"/>
        </w:numPr>
        <w:tabs>
          <w:tab w:val="clear" w:pos="720"/>
          <w:tab w:val="num" w:pos="608"/>
        </w:tabs>
        <w:ind w:left="608"/>
        <w:jc w:val="both"/>
      </w:pPr>
      <w:r>
        <w:t>Commune aux nomenclatures simples ayant un code identifiant de même longueur (par exemple R_FOR_SIMPLE01).</w:t>
      </w:r>
    </w:p>
    <w:p>
      <w:pPr>
        <w:pStyle w:val="ONPCorpsdetexte"/>
        <w:ind w:left="1"/>
        <w:jc w:val="both"/>
      </w:pPr>
    </w:p>
    <w:p>
      <w:pPr>
        <w:ind w:left="1"/>
        <w:jc w:val="both"/>
      </w:pPr>
      <w:r>
        <w:lastRenderedPageBreak/>
        <w:t xml:space="preserve">Outre les attributs constitutifs du format de la nomenclature, chaque bloc de situation de nomenclature contient, en mode incrémental, le numéro de version de mise à jour et le type de mise à jour de la situation de nomenclature. </w:t>
      </w:r>
    </w:p>
    <w:p>
      <w:pPr>
        <w:ind w:left="1" w:firstLine="1"/>
        <w:jc w:val="both"/>
      </w:pPr>
      <w:r>
        <w:t>La notion de « version de MAJ. » est renseignée avec le numéro de version du Noyau RH FPE dans laquelle la situation de nomenclature a été mise à jour. Cette mise à jour pouvant porter aussi bien sur son contenu, la modification d’un libellé par exemple, que sur son format (ajout d’un nouvel attribut).</w:t>
      </w:r>
    </w:p>
    <w:p>
      <w:pPr>
        <w:ind w:left="1"/>
        <w:jc w:val="both"/>
      </w:pPr>
      <w:r>
        <w:tab/>
      </w:r>
      <w:r>
        <w:rPr>
          <w:b/>
        </w:rPr>
        <w:t>Exemple</w:t>
      </w:r>
      <w:r>
        <w:t> : une nouvelle situation de nomenclature de « GRADE » G1 est ajoutée en version 00.04.00 du Noyau RH FPE. Cette situation a une version de MAJ valorisée à 00.04.00 et un type de MAJ. renseigné à A (ajout).</w:t>
      </w:r>
    </w:p>
    <w:p>
      <w:pPr>
        <w:spacing w:before="0" w:after="0"/>
        <w:jc w:val="both"/>
      </w:pPr>
      <w:r>
        <w:rPr>
          <w:b/>
        </w:rPr>
        <w:t>Exemple</w:t>
      </w:r>
      <w:r>
        <w:t> : la création de deux nouveaux attributs dans la nomenclature CONGE_ABSENCE, entraine la modification de la version de mise à jour de toutes les situations de cette nomenclature. Toutes sont liées à la version dans laquelle a été créé l’attribut, dans le cas présent la version 00.05.10.</w:t>
      </w:r>
    </w:p>
    <w:p>
      <w:pPr>
        <w:pStyle w:val="ONPCorpsdetexte"/>
        <w:ind w:left="1"/>
      </w:pPr>
    </w:p>
    <w:p>
      <w:pPr>
        <w:pStyle w:val="Titre2"/>
      </w:pPr>
      <w:bookmarkStart w:id="96" w:name="_Toc20761130"/>
      <w:bookmarkStart w:id="97" w:name="_Ref286856855"/>
      <w:bookmarkStart w:id="98" w:name="_Ref286856858"/>
      <w:bookmarkStart w:id="99" w:name="_Ref286938829"/>
      <w:bookmarkStart w:id="100" w:name="_Ref286938831"/>
      <w:bookmarkStart w:id="101" w:name="_Toc420486255"/>
      <w:r>
        <w:t>Nomenclatures diffusées</w:t>
      </w:r>
      <w:bookmarkEnd w:id="96"/>
    </w:p>
    <w:p>
      <w:pPr>
        <w:pStyle w:val="Titre3"/>
      </w:pPr>
      <w:r>
        <w:t>Précisions sur le périmètre</w:t>
      </w:r>
    </w:p>
    <w:p>
      <w:pPr>
        <w:pStyle w:val="ONPCorpsdetexte"/>
        <w:jc w:val="both"/>
      </w:pPr>
      <w:r>
        <w:t>Au moment où ce document est rédigé, certaines nomenclatures, bien qu'ayant leur format décrit dans le dictionnaire de données, ne sont pas diffusées soit parce qu’elles ne sont pas renseignées dans INGRES, soit parce que les traitements nécessaires à l’import de leur contenu et/ou à leur export ne sont pas encore mis en œuvre.</w:t>
      </w:r>
    </w:p>
    <w:p>
      <w:pPr>
        <w:pStyle w:val="ONPCorpsdetexte"/>
        <w:jc w:val="both"/>
      </w:pPr>
      <w:r>
        <w:t>Il s’agit </w:t>
      </w:r>
    </w:p>
    <w:p>
      <w:pPr>
        <w:pStyle w:val="ONPCorpsdetexte"/>
        <w:numPr>
          <w:ilvl w:val="0"/>
          <w:numId w:val="58"/>
        </w:numPr>
        <w:jc w:val="both"/>
      </w:pPr>
      <w:r>
        <w:t>des nomenclatures budgétaro-comptables fournies par Chorus et par FARANDOLE dont diffusion nécessite préalablement que les traitements nécessaires à la mise à jour de leur contenu soient implémentés dans INGRES (aujourd’hui, seules les Catégorie d’emploi LOLF sont présentes dans l’outil).  Il en va de même des traitements d’export,  la diffusion des nomenclatures Activité, Catégorie d’emploi LOLF, Centre financier et Domaine fonctionnel PASA nécessitant une ventilation de leur contenu par ministère et par millésime.</w:t>
      </w:r>
    </w:p>
    <w:p>
      <w:pPr>
        <w:pStyle w:val="ONPPoint1"/>
        <w:numPr>
          <w:ilvl w:val="1"/>
          <w:numId w:val="58"/>
        </w:numPr>
      </w:pPr>
      <w:r>
        <w:t>Activité (ACTIVITE)</w:t>
      </w:r>
    </w:p>
    <w:p>
      <w:pPr>
        <w:pStyle w:val="ONPPoint1"/>
        <w:numPr>
          <w:ilvl w:val="1"/>
          <w:numId w:val="58"/>
        </w:numPr>
      </w:pPr>
      <w:r>
        <w:t>Catégorie d’emploi LOLF (CATG_EMPL_LOLF)</w:t>
      </w:r>
    </w:p>
    <w:p>
      <w:pPr>
        <w:pStyle w:val="ONPPoint1"/>
        <w:numPr>
          <w:ilvl w:val="1"/>
          <w:numId w:val="58"/>
        </w:numPr>
      </w:pPr>
      <w:r>
        <w:t>Centre financier (CENTRE_FINANCIER)</w:t>
      </w:r>
    </w:p>
    <w:p>
      <w:pPr>
        <w:pStyle w:val="ONPPoint1"/>
        <w:numPr>
          <w:ilvl w:val="1"/>
          <w:numId w:val="58"/>
        </w:numPr>
      </w:pPr>
      <w:r>
        <w:t>Domaine fonctionnel PASA (DOMAINE_FCTL_PASA)</w:t>
      </w:r>
    </w:p>
    <w:p>
      <w:pPr>
        <w:pStyle w:val="ONPPoint1"/>
        <w:numPr>
          <w:ilvl w:val="1"/>
          <w:numId w:val="58"/>
        </w:numPr>
      </w:pPr>
      <w:r>
        <w:t>Centre de cout (CENTRE_COUT)</w:t>
      </w:r>
    </w:p>
    <w:p>
      <w:pPr>
        <w:pStyle w:val="ONPPoint1"/>
        <w:numPr>
          <w:ilvl w:val="0"/>
          <w:numId w:val="0"/>
        </w:numPr>
        <w:ind w:left="1080"/>
      </w:pPr>
    </w:p>
    <w:p>
      <w:pPr>
        <w:pStyle w:val="ONPPoint1"/>
        <w:numPr>
          <w:ilvl w:val="0"/>
          <w:numId w:val="58"/>
        </w:numPr>
      </w:pPr>
      <w:r>
        <w:t>de la nomenclature des unités structurelles aujourd’hui vide qui a vocation, en cible, à être valorisée avec les informations fournies par les SIRH</w:t>
      </w:r>
    </w:p>
    <w:p>
      <w:pPr>
        <w:pStyle w:val="ONPPoint1"/>
        <w:numPr>
          <w:ilvl w:val="0"/>
          <w:numId w:val="58"/>
        </w:numPr>
      </w:pPr>
      <w:r>
        <w:lastRenderedPageBreak/>
        <w:t>des nomenclatures Groupe d'élément de rémunération</w:t>
      </w:r>
      <w:r>
        <w:tab/>
      </w:r>
      <w:r>
        <w:tab/>
        <w:t xml:space="preserve"> (GPE_ELEMENT_REMU) et Sous-groupe d'élément de rémunération (</w:t>
      </w:r>
      <w:r>
        <w:tab/>
      </w:r>
      <w:r>
        <w:tab/>
        <w:t>SS_GPE_ELEMENT_REMU) prévues dans le Dictionnaire de données à des fins d'évolutivité et qui aujourd’hui ne sont pas renseignées.</w:t>
      </w:r>
    </w:p>
    <w:p>
      <w:pPr>
        <w:pStyle w:val="ONPPoint1"/>
        <w:numPr>
          <w:ilvl w:val="0"/>
          <w:numId w:val="58"/>
        </w:numPr>
      </w:pPr>
      <w:r>
        <w:t>Les nomenclatures « Codes poste » (BG_FICHIER_DV) qui aujourd’hui n’est pas valorisées dans INGRES.</w:t>
      </w:r>
    </w:p>
    <w:p>
      <w:pPr>
        <w:pStyle w:val="ONPCorpsdetexte"/>
        <w:jc w:val="both"/>
      </w:pPr>
    </w:p>
    <w:p>
      <w:pPr>
        <w:pStyle w:val="ONPCorpsdetexte"/>
        <w:jc w:val="both"/>
      </w:pPr>
      <w:r>
        <w:t>D’autres nomenclatures sont présentes dans INGRES mais n’ont pas vocation à être diffusées :</w:t>
      </w:r>
    </w:p>
    <w:p>
      <w:pPr>
        <w:pStyle w:val="ONPCorpsdetexte"/>
        <w:numPr>
          <w:ilvl w:val="0"/>
          <w:numId w:val="216"/>
        </w:numPr>
        <w:jc w:val="both"/>
      </w:pPr>
      <w:r>
        <w:t xml:space="preserve">Les tables de délégation qui seront en cible renseignées par les gestionnaires du CISIRH sur la base des informations fournies par les SIRH et dont le contenu sera utilisé par les traitements produisant la ventilation des nomenclatures budgétaro-comptables par ministère.  </w:t>
      </w:r>
    </w:p>
    <w:p>
      <w:pPr>
        <w:pStyle w:val="ONPPoint1"/>
        <w:numPr>
          <w:ilvl w:val="1"/>
          <w:numId w:val="58"/>
        </w:numPr>
      </w:pPr>
      <w:r>
        <w:t>CATG_EMPL_LOLF_DLG</w:t>
      </w:r>
    </w:p>
    <w:p>
      <w:pPr>
        <w:pStyle w:val="ONPPoint1"/>
        <w:numPr>
          <w:ilvl w:val="1"/>
          <w:numId w:val="58"/>
        </w:numPr>
      </w:pPr>
      <w:r>
        <w:t>CENTRE_FINA_DLG</w:t>
      </w:r>
    </w:p>
    <w:p>
      <w:pPr>
        <w:pStyle w:val="ONPPoint1"/>
        <w:numPr>
          <w:ilvl w:val="1"/>
          <w:numId w:val="58"/>
        </w:numPr>
      </w:pPr>
      <w:r>
        <w:t>DOM_FCTL_PASA_DLG</w:t>
      </w:r>
    </w:p>
    <w:p>
      <w:pPr>
        <w:pStyle w:val="ONPCorpsdetexte"/>
        <w:numPr>
          <w:ilvl w:val="0"/>
          <w:numId w:val="216"/>
        </w:numPr>
        <w:jc w:val="both"/>
      </w:pPr>
      <w:r>
        <w:t xml:space="preserve">La nomenclature Programme/Ministère (PGME_MINR), nomenclature externe fournie par FARANDOLE participant également à la ventilation des nomenclatures budgétaro-comptables par ministère.  </w:t>
      </w:r>
    </w:p>
    <w:p>
      <w:pPr>
        <w:pStyle w:val="ONPCorpsdetexte"/>
        <w:numPr>
          <w:ilvl w:val="0"/>
          <w:numId w:val="216"/>
        </w:numPr>
        <w:jc w:val="both"/>
      </w:pPr>
      <w:r>
        <w:t>La table des Compte PCE</w:t>
      </w:r>
    </w:p>
    <w:p>
      <w:pPr>
        <w:pStyle w:val="ONPCorpsdetexte"/>
        <w:ind w:left="723"/>
        <w:jc w:val="both"/>
      </w:pPr>
    </w:p>
    <w:p>
      <w:pPr>
        <w:pStyle w:val="ONPCorpsdetexte"/>
        <w:jc w:val="both"/>
        <w:rPr>
          <w:b/>
        </w:rPr>
      </w:pPr>
      <w:r>
        <w:rPr>
          <w:b/>
        </w:rPr>
        <w:t>Points d’attention</w:t>
      </w:r>
    </w:p>
    <w:p>
      <w:pPr>
        <w:pStyle w:val="ONPCorpsdetexte"/>
        <w:numPr>
          <w:ilvl w:val="0"/>
          <w:numId w:val="216"/>
        </w:numPr>
        <w:jc w:val="both"/>
      </w:pPr>
      <w:r>
        <w:t>La nomenclature Lot de paye, initialement présente dans la version 00.04.00 n’a pas été reprise dans INGRES car elle n’a jamais été valorisée et a été supprimée dans la version 00.05.10.</w:t>
      </w:r>
    </w:p>
    <w:p>
      <w:pPr>
        <w:pStyle w:val="Paragraphedeliste"/>
        <w:numPr>
          <w:ilvl w:val="0"/>
          <w:numId w:val="216"/>
        </w:numPr>
        <w:jc w:val="both"/>
        <w:rPr>
          <w:b/>
        </w:rPr>
      </w:pPr>
      <w:r>
        <w:t xml:space="preserve">La mise  à jour de certaines nomenclatures nécessite la modification des traitements applicatifs et/ou du paramétrage des applications intégrant les nomenclatures. </w:t>
      </w:r>
    </w:p>
    <w:p>
      <w:pPr>
        <w:pStyle w:val="ONPCorpsdetexte"/>
        <w:ind w:left="709"/>
        <w:jc w:val="both"/>
      </w:pPr>
      <w:r>
        <w:t xml:space="preserve">Ces impacts variant selon les SI cibles et ayant vocation à être analysés au niveau de chacun d'entre eux ne sont pas traités dans le présent document.  </w:t>
      </w:r>
    </w:p>
    <w:p>
      <w:pPr>
        <w:pStyle w:val="ONPCorpsdetexte"/>
        <w:ind w:left="709"/>
        <w:jc w:val="both"/>
      </w:pPr>
      <w:r>
        <w:rPr>
          <w:b/>
        </w:rPr>
        <w:t>Exemple</w:t>
      </w:r>
      <w:r>
        <w:t xml:space="preserve"> : </w:t>
      </w:r>
    </w:p>
    <w:p>
      <w:pPr>
        <w:pStyle w:val="ONPCorpsdetexte"/>
        <w:ind w:left="709"/>
        <w:jc w:val="both"/>
      </w:pPr>
      <w:r>
        <w:t>Les traitements de type affichage : certains référentiels sont codés en « dur » dans HRa Suite 7 en standard. Il s’agit de référentiels dont l’affichage est sous forme de menu déroulant et non sous forme de liste. Dans ce cas, cette codification placée en « dur » dans la structure de l’information nécessite une recompilation de la solution HRa Suite 7 en cas de nouvelle valeur.</w:t>
      </w:r>
    </w:p>
    <w:p>
      <w:pPr>
        <w:pStyle w:val="ONPCorpsdetexte"/>
        <w:tabs>
          <w:tab w:val="num" w:pos="608"/>
        </w:tabs>
        <w:jc w:val="both"/>
      </w:pPr>
    </w:p>
    <w:p>
      <w:pPr>
        <w:pStyle w:val="Titre3"/>
        <w:jc w:val="both"/>
      </w:pPr>
      <w:bookmarkStart w:id="102" w:name="_Liste_des_nomenclatures"/>
      <w:bookmarkEnd w:id="102"/>
      <w:r>
        <w:lastRenderedPageBreak/>
        <w:t>Liste des nomenclatures diffusées</w:t>
      </w:r>
    </w:p>
    <w:p>
      <w:pPr>
        <w:pStyle w:val="ONPCorpsdetexte"/>
        <w:jc w:val="both"/>
      </w:pPr>
      <w:r>
        <w:t>La liste des nomenclatures transmises par INGRES dans cette version est décrite dans le fichier « Dictionnaire des données_24.00.00.xlsx ».</w:t>
      </w:r>
    </w:p>
    <w:p>
      <w:pPr>
        <w:jc w:val="center"/>
      </w:pPr>
    </w:p>
    <w:p>
      <w:pPr>
        <w:suppressAutoHyphens w:val="0"/>
        <w:spacing w:line="240" w:lineRule="auto"/>
        <w:jc w:val="both"/>
      </w:pPr>
      <w:r>
        <w:t xml:space="preserve">Ce fichier présente les caractéristiques des nomenclatures en indiquant leur version d’apparition dans le noyau: </w:t>
      </w:r>
    </w:p>
    <w:p>
      <w:pPr>
        <w:pStyle w:val="Paragraphedeliste"/>
        <w:numPr>
          <w:ilvl w:val="0"/>
          <w:numId w:val="58"/>
        </w:numPr>
        <w:suppressAutoHyphens w:val="0"/>
        <w:spacing w:line="240" w:lineRule="auto"/>
        <w:jc w:val="both"/>
      </w:pPr>
      <w:r>
        <w:t>l’identifiant noyau de chaque nomenclature,</w:t>
      </w:r>
    </w:p>
    <w:p>
      <w:pPr>
        <w:pStyle w:val="Paragraphedeliste"/>
        <w:numPr>
          <w:ilvl w:val="0"/>
          <w:numId w:val="58"/>
        </w:numPr>
        <w:suppressAutoHyphens w:val="0"/>
        <w:spacing w:line="240" w:lineRule="auto"/>
        <w:jc w:val="both"/>
      </w:pPr>
      <w:r>
        <w:t>son libellé,</w:t>
      </w:r>
    </w:p>
    <w:p>
      <w:pPr>
        <w:pStyle w:val="Paragraphedeliste"/>
        <w:numPr>
          <w:ilvl w:val="0"/>
          <w:numId w:val="58"/>
        </w:numPr>
        <w:suppressAutoHyphens w:val="0"/>
        <w:spacing w:line="240" w:lineRule="auto"/>
        <w:jc w:val="both"/>
      </w:pPr>
      <w:r>
        <w:t>son type (interministérielle, ministérielle, interministérielle semi-ouverte),</w:t>
      </w:r>
    </w:p>
    <w:p>
      <w:pPr>
        <w:pStyle w:val="Paragraphedeliste"/>
        <w:numPr>
          <w:ilvl w:val="0"/>
          <w:numId w:val="58"/>
        </w:numPr>
        <w:suppressAutoHyphens w:val="0"/>
        <w:spacing w:line="240" w:lineRule="auto"/>
        <w:jc w:val="both"/>
      </w:pPr>
      <w:r>
        <w:t xml:space="preserve">son identifiant au format numérique utilisé pour le nommage des fichiers référentiels, </w:t>
      </w:r>
    </w:p>
    <w:p>
      <w:pPr>
        <w:numPr>
          <w:ilvl w:val="0"/>
          <w:numId w:val="58"/>
        </w:numPr>
        <w:suppressAutoHyphens w:val="0"/>
        <w:spacing w:line="240" w:lineRule="auto"/>
        <w:jc w:val="both"/>
      </w:pPr>
      <w:r>
        <w:t>son format tel que défini dans le noyau (générique, simples, etc.),</w:t>
      </w:r>
    </w:p>
    <w:p>
      <w:pPr>
        <w:pStyle w:val="Paragraphedeliste"/>
        <w:numPr>
          <w:ilvl w:val="0"/>
          <w:numId w:val="58"/>
        </w:numPr>
        <w:suppressAutoHyphens w:val="0"/>
        <w:spacing w:line="240" w:lineRule="auto"/>
        <w:jc w:val="both"/>
      </w:pPr>
      <w:r>
        <w:t xml:space="preserve">son type de format (cf. </w:t>
      </w:r>
      <w:hyperlink w:anchor="_Structure_des_nomenclatures" w:history="1">
        <w:r>
          <w:t>Structure des nomenclatures</w:t>
        </w:r>
      </w:hyperlink>
      <w:r>
        <w:t xml:space="preserve">)  </w:t>
      </w:r>
    </w:p>
    <w:p>
      <w:pPr>
        <w:numPr>
          <w:ilvl w:val="1"/>
          <w:numId w:val="165"/>
        </w:numPr>
        <w:suppressAutoHyphens w:val="0"/>
        <w:spacing w:line="240" w:lineRule="auto"/>
        <w:jc w:val="both"/>
      </w:pPr>
      <w:r>
        <w:t>Mono-structure </w:t>
      </w:r>
    </w:p>
    <w:p>
      <w:pPr>
        <w:numPr>
          <w:ilvl w:val="1"/>
          <w:numId w:val="165"/>
        </w:numPr>
        <w:suppressAutoHyphens w:val="0"/>
        <w:spacing w:line="240" w:lineRule="auto"/>
        <w:jc w:val="both"/>
      </w:pPr>
      <w:r>
        <w:t>Mono-structure booléen,</w:t>
      </w:r>
    </w:p>
    <w:p>
      <w:pPr>
        <w:numPr>
          <w:ilvl w:val="1"/>
          <w:numId w:val="165"/>
        </w:numPr>
        <w:suppressAutoHyphens w:val="0"/>
        <w:spacing w:line="240" w:lineRule="auto"/>
        <w:jc w:val="both"/>
      </w:pPr>
      <w:r>
        <w:t>Mono-structure simplifié,</w:t>
      </w:r>
    </w:p>
    <w:p>
      <w:pPr>
        <w:numPr>
          <w:ilvl w:val="1"/>
          <w:numId w:val="165"/>
        </w:numPr>
        <w:suppressAutoHyphens w:val="0"/>
        <w:spacing w:line="240" w:lineRule="auto"/>
        <w:jc w:val="both"/>
      </w:pPr>
      <w:r>
        <w:t>Multi-structure.</w:t>
      </w:r>
    </w:p>
    <w:p>
      <w:pPr>
        <w:numPr>
          <w:ilvl w:val="0"/>
          <w:numId w:val="171"/>
        </w:numPr>
        <w:suppressAutoHyphens w:val="0"/>
        <w:spacing w:line="240" w:lineRule="auto"/>
        <w:jc w:val="both"/>
      </w:pPr>
      <w:r>
        <w:t xml:space="preserve">son caractère de dépendance (cf. </w:t>
      </w:r>
      <w:hyperlink w:anchor="_Structures_spécifiques_à" w:history="1">
        <w:r>
          <w:rPr>
            <w:rStyle w:val="Lienhypertexte"/>
            <w:lang w:val="fr-FR"/>
          </w:rPr>
          <w:t>Structures spécifiques à une nomenclature</w:t>
        </w:r>
      </w:hyperlink>
      <w:r>
        <w:t>)</w:t>
      </w:r>
    </w:p>
    <w:p>
      <w:pPr>
        <w:numPr>
          <w:ilvl w:val="1"/>
          <w:numId w:val="165"/>
        </w:numPr>
        <w:suppressAutoHyphens w:val="0"/>
        <w:spacing w:line="240" w:lineRule="auto"/>
        <w:jc w:val="both"/>
      </w:pPr>
      <w:r>
        <w:t>Nomenclature interdépendantes : ces référentiels présentent des liens prédéfinis entre eux.</w:t>
      </w:r>
    </w:p>
    <w:p>
      <w:pPr>
        <w:numPr>
          <w:ilvl w:val="1"/>
          <w:numId w:val="165"/>
        </w:numPr>
        <w:suppressAutoHyphens w:val="0"/>
        <w:spacing w:line="240" w:lineRule="auto"/>
        <w:jc w:val="both"/>
      </w:pPr>
      <w:r>
        <w:t>Référentiels indépendants : Il s’agit de référentiels qui ne sont liés à aucun autre référentiel. Ils sont gérés de manière autonome et peuvent être mis à jour indépendamment.</w:t>
      </w:r>
    </w:p>
    <w:p>
      <w:pPr>
        <w:numPr>
          <w:ilvl w:val="0"/>
          <w:numId w:val="171"/>
        </w:numPr>
        <w:suppressAutoHyphens w:val="0"/>
        <w:spacing w:line="240" w:lineRule="auto"/>
        <w:jc w:val="both"/>
      </w:pPr>
      <w:r>
        <w:t>son niveau (de 0 à 8), déterminé à partir des deux critères précédents. Ce critère de classification participe à la définition  de l’ordonnancement devant être respecté lors de l'import des différents fichiers produits par INGRES dans les SI cibles</w:t>
      </w:r>
    </w:p>
    <w:p>
      <w:pPr>
        <w:pStyle w:val="Paragraphedeliste"/>
        <w:numPr>
          <w:ilvl w:val="1"/>
          <w:numId w:val="165"/>
        </w:numPr>
        <w:suppressAutoHyphens w:val="0"/>
        <w:spacing w:line="240" w:lineRule="auto"/>
        <w:jc w:val="both"/>
      </w:pPr>
      <w:r>
        <w:t>les référentiels indépendants disposent d’un niveau valorisé arbitrairement à « Niveau 0 » car sans impact sur la problématique d’ordonnancement à l’intégration,</w:t>
      </w:r>
    </w:p>
    <w:p>
      <w:pPr>
        <w:numPr>
          <w:ilvl w:val="1"/>
          <w:numId w:val="171"/>
        </w:numPr>
        <w:suppressAutoHyphens w:val="0"/>
        <w:spacing w:line="240" w:lineRule="auto"/>
        <w:jc w:val="both"/>
      </w:pPr>
      <w:r>
        <w:t>Les référentiels interdépendants sans clef étrangère (c.-à-d. sans attribut référentiel) disposent d’un niveau valorisé arbitrairement à « Niveau 1 ».</w:t>
      </w:r>
    </w:p>
    <w:p>
      <w:pPr>
        <w:pStyle w:val="ONPPoint1"/>
        <w:numPr>
          <w:ilvl w:val="0"/>
          <w:numId w:val="0"/>
        </w:numPr>
        <w:ind w:left="605" w:hanging="605"/>
        <w:jc w:val="both"/>
        <w:rPr>
          <w:b/>
        </w:rPr>
      </w:pPr>
    </w:p>
    <w:p>
      <w:pPr>
        <w:pStyle w:val="ONPPoint1"/>
        <w:numPr>
          <w:ilvl w:val="0"/>
          <w:numId w:val="0"/>
        </w:numPr>
        <w:ind w:left="605" w:hanging="605"/>
        <w:jc w:val="both"/>
        <w:rPr>
          <w:b/>
          <w:u w:val="single"/>
        </w:rPr>
      </w:pPr>
      <w:r>
        <w:rPr>
          <w:b/>
          <w:u w:val="single"/>
        </w:rPr>
        <w:t>Point d’attention</w:t>
      </w:r>
    </w:p>
    <w:p>
      <w:pPr>
        <w:pStyle w:val="ONPPoint1"/>
        <w:numPr>
          <w:ilvl w:val="0"/>
          <w:numId w:val="0"/>
        </w:numPr>
        <w:jc w:val="both"/>
      </w:pPr>
      <w:r>
        <w:t xml:space="preserve">Les formats de quelques-unes des nomenclatures décrites dans le paragraphe précédent comme ne faisant pas actuellement l’objet d’une diffusion sont  indiqués dans les différents fichiers à titre indicatif. </w:t>
      </w:r>
    </w:p>
    <w:p>
      <w:pPr>
        <w:pStyle w:val="Titre2"/>
        <w:jc w:val="both"/>
      </w:pPr>
      <w:bookmarkStart w:id="103" w:name="_Description_des_différents"/>
      <w:bookmarkStart w:id="104" w:name="_Toc20761131"/>
      <w:bookmarkEnd w:id="103"/>
      <w:r>
        <w:lastRenderedPageBreak/>
        <w:t>Description des différents formats de diffusion</w:t>
      </w:r>
      <w:bookmarkEnd w:id="104"/>
      <w:r>
        <w:t xml:space="preserve"> </w:t>
      </w:r>
    </w:p>
    <w:p>
      <w:pPr>
        <w:pStyle w:val="ONPCorpsdetexte"/>
        <w:jc w:val="both"/>
        <w:rPr>
          <w:bCs/>
        </w:rPr>
      </w:pPr>
      <w:r>
        <w:rPr>
          <w:bCs/>
        </w:rPr>
        <w:t xml:space="preserve">Tous les fichiers « Chapeau » et « Référentiels » débutent par la rubrique technique suivante : &lt;?xml version="1.0" encoding="ISO-8859-15"?&gt; qui  constitue le prologue de chaque fichier XML. </w:t>
      </w:r>
    </w:p>
    <w:p>
      <w:pPr>
        <w:pStyle w:val="ONPCorpsdetexte"/>
        <w:jc w:val="both"/>
      </w:pPr>
      <w:r>
        <w:rPr>
          <w:bCs/>
        </w:rPr>
        <w:t>Les zones « Entête » et « Données de mise à jour » des fichiers  « Référentiels » sont englobées par une balise mère &lt;FICHIER_OGR&gt;.</w:t>
      </w:r>
    </w:p>
    <w:p>
      <w:pPr>
        <w:pStyle w:val="ONPPoint1"/>
        <w:numPr>
          <w:ilvl w:val="0"/>
          <w:numId w:val="0"/>
        </w:numPr>
        <w:ind w:left="605" w:hanging="605"/>
        <w:jc w:val="both"/>
      </w:pPr>
      <w:r>
        <w:t>La balise mère englobant informations du fichier « Chapeau » est nommée &lt;RACINE&gt;</w:t>
      </w:r>
    </w:p>
    <w:p>
      <w:pPr>
        <w:pStyle w:val="ONPCorpsdetexte"/>
        <w:ind w:left="720"/>
        <w:jc w:val="both"/>
      </w:pPr>
    </w:p>
    <w:p>
      <w:pPr>
        <w:pStyle w:val="Titre30"/>
        <w:jc w:val="both"/>
      </w:pPr>
      <w:r>
        <w:t xml:space="preserve">Description détaillée des champs communs aux différents fichiers </w:t>
      </w:r>
      <w:bookmarkEnd w:id="97"/>
      <w:bookmarkEnd w:id="98"/>
      <w:bookmarkEnd w:id="99"/>
      <w:bookmarkEnd w:id="100"/>
      <w:bookmarkEnd w:id="101"/>
    </w:p>
    <w:p>
      <w:pPr>
        <w:pStyle w:val="Titre4"/>
        <w:jc w:val="both"/>
      </w:pPr>
      <w:r>
        <w:t>Généralités</w:t>
      </w:r>
      <w:r>
        <w:tab/>
      </w:r>
    </w:p>
    <w:p>
      <w:pPr>
        <w:pStyle w:val="ONPCorpsdetexte"/>
        <w:ind w:left="1"/>
        <w:jc w:val="both"/>
      </w:pPr>
      <w:bookmarkStart w:id="105" w:name="_1364819733"/>
      <w:bookmarkStart w:id="106" w:name="_1365321227"/>
      <w:bookmarkStart w:id="107" w:name="_1365322067"/>
      <w:bookmarkStart w:id="108" w:name="_1365322409"/>
      <w:bookmarkStart w:id="109" w:name="_1365346738"/>
      <w:bookmarkStart w:id="110" w:name="_1365605051"/>
      <w:bookmarkStart w:id="111" w:name="_1367149721"/>
      <w:bookmarkStart w:id="112" w:name="_1367152241"/>
      <w:bookmarkStart w:id="113" w:name="_1367224715"/>
      <w:bookmarkStart w:id="114" w:name="_1367263359"/>
      <w:bookmarkStart w:id="115" w:name="_1367264024"/>
      <w:bookmarkStart w:id="116" w:name="_1367264632"/>
      <w:bookmarkStart w:id="117" w:name="_1367327574"/>
      <w:bookmarkStart w:id="118" w:name="_1367329226"/>
      <w:bookmarkStart w:id="119" w:name="_1367334043"/>
      <w:bookmarkStart w:id="120" w:name="_1367334787"/>
      <w:bookmarkStart w:id="121" w:name="_1367336295"/>
      <w:bookmarkStart w:id="122" w:name="_1368258263"/>
      <w:bookmarkStart w:id="123" w:name="_1368258459"/>
      <w:bookmarkStart w:id="124" w:name="_1368262121"/>
      <w:bookmarkStart w:id="125" w:name="_1368263832"/>
      <w:bookmarkStart w:id="126" w:name="_1368264228"/>
      <w:bookmarkStart w:id="127" w:name="_1368264407"/>
      <w:bookmarkStart w:id="128" w:name="_1368297747"/>
      <w:bookmarkStart w:id="129" w:name="_1369031641"/>
      <w:bookmarkStart w:id="130" w:name="_1369031671"/>
      <w:bookmarkStart w:id="131" w:name="_1369033189"/>
      <w:bookmarkStart w:id="132" w:name="_1369037599"/>
      <w:bookmarkStart w:id="133" w:name="_1375707006"/>
      <w:bookmarkStart w:id="134" w:name="_1377354079"/>
      <w:bookmarkStart w:id="135" w:name="_1377354298"/>
      <w:bookmarkStart w:id="136" w:name="_1377362357"/>
      <w:bookmarkStart w:id="137" w:name="_1377433302"/>
      <w:bookmarkStart w:id="138" w:name="_1377530182"/>
      <w:bookmarkStart w:id="139" w:name="_1378713157"/>
      <w:bookmarkStart w:id="140" w:name="_1378733969"/>
      <w:bookmarkStart w:id="141" w:name="_1378912290"/>
      <w:bookmarkStart w:id="142" w:name="_1379489303"/>
      <w:bookmarkStart w:id="143" w:name="_1381736172"/>
      <w:bookmarkStart w:id="144" w:name="_1387367033"/>
      <w:bookmarkStart w:id="145" w:name="_1387367785"/>
      <w:bookmarkStart w:id="146" w:name="_1389078109"/>
      <w:bookmarkStart w:id="147" w:name="_1396443810"/>
      <w:bookmarkStart w:id="148" w:name="_1396456208"/>
      <w:bookmarkStart w:id="149" w:name="_1408191592"/>
      <w:bookmarkStart w:id="150" w:name="_1409413234"/>
      <w:bookmarkStart w:id="151" w:name="_1409990890"/>
      <w:bookmarkStart w:id="152" w:name="_1409991171"/>
      <w:bookmarkStart w:id="153" w:name="_1412169139"/>
      <w:bookmarkStart w:id="154" w:name="_1412169188"/>
      <w:bookmarkStart w:id="155" w:name="_1412170034"/>
      <w:bookmarkStart w:id="156" w:name="_1412518515"/>
      <w:bookmarkStart w:id="157" w:name="_1412518628"/>
      <w:bookmarkStart w:id="158" w:name="_1412584829"/>
      <w:bookmarkStart w:id="159" w:name="_1412588706"/>
      <w:bookmarkStart w:id="160" w:name="_1414572908"/>
      <w:bookmarkStart w:id="161" w:name="_1414858869"/>
      <w:bookmarkStart w:id="162" w:name="_1414946493"/>
      <w:bookmarkStart w:id="163" w:name="_1415004517"/>
      <w:bookmarkStart w:id="164" w:name="_1415005697"/>
      <w:bookmarkStart w:id="165" w:name="_1415724240"/>
      <w:bookmarkStart w:id="166" w:name="_1415724323"/>
      <w:bookmarkStart w:id="167" w:name="_141622582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t>Chacune des lignes des tableaux présents dans la suite de ce chapitre correspond à un champ du fichier et est caractérisée par les informations suivantes :</w:t>
      </w:r>
    </w:p>
    <w:p>
      <w:pPr>
        <w:pStyle w:val="ONPCorpsdetexte"/>
        <w:numPr>
          <w:ilvl w:val="0"/>
          <w:numId w:val="39"/>
        </w:numPr>
        <w:tabs>
          <w:tab w:val="clear" w:pos="776"/>
          <w:tab w:val="num" w:pos="664"/>
        </w:tabs>
        <w:ind w:left="664"/>
        <w:jc w:val="both"/>
        <w:rPr>
          <w:u w:val="single"/>
        </w:rPr>
      </w:pPr>
      <w:r>
        <w:rPr>
          <w:u w:val="single"/>
        </w:rPr>
        <w:t>Niveau</w:t>
      </w:r>
      <w:r>
        <w:t> : désigne le niveau d’arborescence de la balise XML,</w:t>
      </w:r>
    </w:p>
    <w:p>
      <w:pPr>
        <w:pStyle w:val="ONPCorpsdetexte"/>
        <w:numPr>
          <w:ilvl w:val="0"/>
          <w:numId w:val="39"/>
        </w:numPr>
        <w:tabs>
          <w:tab w:val="clear" w:pos="776"/>
          <w:tab w:val="num" w:pos="664"/>
        </w:tabs>
        <w:ind w:left="664"/>
        <w:jc w:val="both"/>
        <w:rPr>
          <w:u w:val="single"/>
        </w:rPr>
      </w:pPr>
      <w:r>
        <w:rPr>
          <w:u w:val="single"/>
        </w:rPr>
        <w:t>Ordre</w:t>
      </w:r>
      <w:r>
        <w:t> : désigne le numéro d’ordre de la balise XML,</w:t>
      </w:r>
    </w:p>
    <w:p>
      <w:pPr>
        <w:pStyle w:val="ONPCorpsdetexte"/>
        <w:numPr>
          <w:ilvl w:val="0"/>
          <w:numId w:val="39"/>
        </w:numPr>
        <w:tabs>
          <w:tab w:val="clear" w:pos="776"/>
          <w:tab w:val="num" w:pos="664"/>
        </w:tabs>
        <w:ind w:left="664"/>
        <w:jc w:val="both"/>
        <w:rPr>
          <w:u w:val="single"/>
        </w:rPr>
      </w:pPr>
      <w:r>
        <w:rPr>
          <w:u w:val="single"/>
        </w:rPr>
        <w:t>Balise XML</w:t>
      </w:r>
      <w:r>
        <w:t> : désigne le nom de la balise XML,</w:t>
      </w:r>
    </w:p>
    <w:p>
      <w:pPr>
        <w:pStyle w:val="ONPCorpsdetexte"/>
        <w:numPr>
          <w:ilvl w:val="0"/>
          <w:numId w:val="39"/>
        </w:numPr>
        <w:tabs>
          <w:tab w:val="clear" w:pos="776"/>
          <w:tab w:val="num" w:pos="664"/>
        </w:tabs>
        <w:ind w:left="664"/>
        <w:jc w:val="both"/>
        <w:rPr>
          <w:u w:val="single"/>
        </w:rPr>
      </w:pPr>
      <w:r>
        <w:rPr>
          <w:u w:val="single"/>
        </w:rPr>
        <w:t>Description</w:t>
      </w:r>
      <w:r>
        <w:t>: contient une description synthétique de la balise XML,</w:t>
      </w:r>
    </w:p>
    <w:p>
      <w:pPr>
        <w:pStyle w:val="ONPCorpsdetexte"/>
        <w:numPr>
          <w:ilvl w:val="0"/>
          <w:numId w:val="39"/>
        </w:numPr>
        <w:tabs>
          <w:tab w:val="clear" w:pos="776"/>
          <w:tab w:val="num" w:pos="664"/>
        </w:tabs>
        <w:ind w:left="664"/>
        <w:jc w:val="both"/>
        <w:rPr>
          <w:u w:val="single"/>
        </w:rPr>
      </w:pPr>
      <w:r>
        <w:rPr>
          <w:u w:val="single"/>
        </w:rPr>
        <w:t>Clé</w:t>
      </w:r>
      <w:r>
        <w:t> : désigne si la balise XML permet de référencer un code de référentiel de manière unique (N.B. dans la zone « Entête » du fichier « Référentiel », aucune balise XML n’est une clé),</w:t>
      </w:r>
    </w:p>
    <w:p>
      <w:pPr>
        <w:pStyle w:val="ONPCorpsdetexte"/>
        <w:numPr>
          <w:ilvl w:val="0"/>
          <w:numId w:val="39"/>
        </w:numPr>
        <w:tabs>
          <w:tab w:val="clear" w:pos="776"/>
          <w:tab w:val="num" w:pos="664"/>
        </w:tabs>
        <w:ind w:left="664"/>
        <w:jc w:val="both"/>
        <w:rPr>
          <w:u w:val="single"/>
        </w:rPr>
      </w:pPr>
      <w:r>
        <w:rPr>
          <w:u w:val="single"/>
        </w:rPr>
        <w:t>Format</w:t>
      </w:r>
      <w:r>
        <w:t> : désigne le format de la valeur de la balise XML (ex. alphanumérique, numérique),</w:t>
      </w:r>
    </w:p>
    <w:p>
      <w:pPr>
        <w:pStyle w:val="ONPCorpsdetexte"/>
        <w:numPr>
          <w:ilvl w:val="0"/>
          <w:numId w:val="39"/>
        </w:numPr>
        <w:tabs>
          <w:tab w:val="clear" w:pos="776"/>
          <w:tab w:val="num" w:pos="664"/>
        </w:tabs>
        <w:ind w:left="664"/>
        <w:jc w:val="both"/>
        <w:rPr>
          <w:u w:val="single"/>
        </w:rPr>
      </w:pPr>
      <w:r>
        <w:rPr>
          <w:u w:val="single"/>
        </w:rPr>
        <w:t>Longueur</w:t>
      </w:r>
      <w:r>
        <w:t> : désigne la longueur de la valeur de la balise XML,</w:t>
      </w:r>
    </w:p>
    <w:p>
      <w:pPr>
        <w:pStyle w:val="ONPCorpsdetexte"/>
        <w:numPr>
          <w:ilvl w:val="0"/>
          <w:numId w:val="39"/>
        </w:numPr>
        <w:tabs>
          <w:tab w:val="clear" w:pos="776"/>
          <w:tab w:val="num" w:pos="664"/>
        </w:tabs>
        <w:ind w:left="664"/>
        <w:jc w:val="both"/>
        <w:rPr>
          <w:u w:val="single"/>
        </w:rPr>
      </w:pPr>
      <w:r>
        <w:rPr>
          <w:u w:val="single"/>
        </w:rPr>
        <w:t>Cardinalité de la balise</w:t>
      </w:r>
      <w:r>
        <w:t xml:space="preserve"> : désigne la cardinalité d’une balise XML, ce qui permet de déterminer le caractère de présence obligatoire/facultative/Conditionnel d’une balise ou son caractère répétitif (cf. ci-après </w:t>
      </w:r>
      <w:r>
        <w:rPr>
          <w:rStyle w:val="Lienhypertexte"/>
          <w:lang w:val="fr-FR"/>
        </w:rPr>
        <w:fldChar w:fldCharType="begin"/>
      </w:r>
      <w:r>
        <w:rPr>
          <w:rStyle w:val="Lienhypertexte"/>
          <w:lang w:val="fr-FR"/>
        </w:rPr>
        <w:instrText xml:space="preserve"> REF _Ref288559005 \h  \* MERGEFORMAT </w:instrText>
      </w:r>
      <w:r>
        <w:rPr>
          <w:rStyle w:val="Lienhypertexte"/>
          <w:lang w:val="fr-FR"/>
        </w:rPr>
      </w:r>
      <w:r>
        <w:rPr>
          <w:rStyle w:val="Lienhypertexte"/>
          <w:lang w:val="fr-FR"/>
        </w:rPr>
        <w:fldChar w:fldCharType="separate"/>
      </w:r>
      <w:r>
        <w:rPr>
          <w:rStyle w:val="Lienhypertexte"/>
          <w:lang w:val="fr-FR"/>
        </w:rPr>
        <w:t>Cardinalité d’une balise</w:t>
      </w:r>
      <w:r>
        <w:rPr>
          <w:rStyle w:val="Lienhypertexte"/>
          <w:lang w:val="fr-FR"/>
        </w:rPr>
        <w:fldChar w:fldCharType="end"/>
      </w:r>
      <w:r>
        <w:rPr>
          <w:rStyle w:val="Lienhypertexte"/>
          <w:color w:val="auto"/>
          <w:lang w:val="fr-FR"/>
        </w:rPr>
        <w:t>)</w:t>
      </w:r>
      <w:r>
        <w:rPr>
          <w:rStyle w:val="Lienhypertexte"/>
          <w:lang w:val="fr-FR"/>
        </w:rPr>
        <w:t>,</w:t>
      </w:r>
    </w:p>
    <w:p>
      <w:pPr>
        <w:pStyle w:val="ONPCorpsdetexte"/>
        <w:numPr>
          <w:ilvl w:val="0"/>
          <w:numId w:val="39"/>
        </w:numPr>
        <w:tabs>
          <w:tab w:val="clear" w:pos="776"/>
          <w:tab w:val="num" w:pos="664"/>
        </w:tabs>
        <w:ind w:left="664"/>
        <w:jc w:val="both"/>
        <w:rPr>
          <w:u w:val="single"/>
        </w:rPr>
      </w:pPr>
      <w:r>
        <w:rPr>
          <w:u w:val="single"/>
        </w:rPr>
        <w:t>Typologie d’attribut </w:t>
      </w:r>
      <w:r>
        <w:t xml:space="preserve">: indique le caractère unique, continu, répétitif continu ou répétitif discontinu d’un attribut d’un référentiel (cf. ci-après </w:t>
      </w:r>
      <w:hyperlink w:anchor="_Typologie_des_attributs" w:history="1">
        <w:r>
          <w:rPr>
            <w:rStyle w:val="Lienhypertexte"/>
            <w:lang w:val="fr-FR"/>
          </w:rPr>
          <w:t>Typologie des attributs des référentiels portés par un fichier INGRES</w:t>
        </w:r>
      </w:hyperlink>
      <w:r>
        <w:t>),</w:t>
      </w:r>
    </w:p>
    <w:p>
      <w:pPr>
        <w:pStyle w:val="ONPCorpsdetexte"/>
        <w:numPr>
          <w:ilvl w:val="0"/>
          <w:numId w:val="39"/>
        </w:numPr>
        <w:tabs>
          <w:tab w:val="clear" w:pos="776"/>
          <w:tab w:val="num" w:pos="664"/>
        </w:tabs>
        <w:ind w:left="664"/>
        <w:jc w:val="both"/>
        <w:rPr>
          <w:u w:val="single"/>
        </w:rPr>
      </w:pPr>
      <w:r>
        <w:rPr>
          <w:u w:val="single"/>
        </w:rPr>
        <w:t>Valeurs possibles</w:t>
      </w:r>
      <w:r>
        <w:t> : indique les valeurs possibles de la balise XML le cas échéant, ou « N/A » sinon,</w:t>
      </w:r>
    </w:p>
    <w:p>
      <w:pPr>
        <w:pStyle w:val="ONPCorpsdetexte"/>
        <w:numPr>
          <w:ilvl w:val="0"/>
          <w:numId w:val="39"/>
        </w:numPr>
        <w:tabs>
          <w:tab w:val="clear" w:pos="776"/>
          <w:tab w:val="num" w:pos="664"/>
        </w:tabs>
        <w:ind w:left="664"/>
        <w:jc w:val="both"/>
        <w:rPr>
          <w:u w:val="single"/>
        </w:rPr>
      </w:pPr>
      <w:r>
        <w:rPr>
          <w:u w:val="single"/>
        </w:rPr>
        <w:t>Règles de gestion : indique les éventuelles règles de gestion relatives à la balise XML</w:t>
      </w:r>
    </w:p>
    <w:p>
      <w:pPr>
        <w:pStyle w:val="ONPCorpsdetexte"/>
        <w:ind w:left="1"/>
        <w:jc w:val="both"/>
      </w:pPr>
      <w:r>
        <w:t>Deux colonnes supplémentaires sont présentes dans le fichier « Formats des fichiers Référentiels ». Ajoutée au début de chaque ligne, elles indiquent les versions de format XML dans lesquelles les balises doivent apparaitre.</w:t>
      </w:r>
    </w:p>
    <w:p>
      <w:pPr>
        <w:pStyle w:val="ONPCorpsdetexte"/>
        <w:ind w:left="1"/>
        <w:jc w:val="both"/>
      </w:pPr>
      <w:r>
        <w:rPr>
          <w:b/>
        </w:rPr>
        <w:lastRenderedPageBreak/>
        <w:t>Exemple</w:t>
      </w:r>
      <w:r>
        <w:t xml:space="preserve"> : le format des nomenclatures «  Mono-structure booléen »  n’apparait qu’à partir de la version de format XML 00.05.10. </w:t>
      </w:r>
    </w:p>
    <w:p>
      <w:pPr>
        <w:pStyle w:val="Titre4"/>
        <w:shd w:val="clear" w:color="auto" w:fill="FFFFFF" w:themeFill="background1"/>
        <w:jc w:val="both"/>
      </w:pPr>
      <w:bookmarkStart w:id="168" w:name="_Ref288559001"/>
      <w:bookmarkStart w:id="169" w:name="_Ref288559005"/>
      <w:bookmarkStart w:id="170" w:name="_Toc420486256"/>
      <w:r>
        <w:t>Cardinalité d’une balise</w:t>
      </w:r>
      <w:bookmarkEnd w:id="168"/>
      <w:bookmarkEnd w:id="169"/>
      <w:bookmarkEnd w:id="170"/>
      <w:r>
        <w:t xml:space="preserve"> </w:t>
      </w:r>
    </w:p>
    <w:p>
      <w:pPr>
        <w:pStyle w:val="ONPCorpsdetexte"/>
        <w:ind w:left="1"/>
        <w:jc w:val="both"/>
        <w:rPr>
          <w:b/>
        </w:rPr>
      </w:pPr>
      <w:r>
        <w:t xml:space="preserve">Dans un fichier XML, chaque balise doit présenter une cardinalité : </w:t>
      </w:r>
    </w:p>
    <w:p>
      <w:pPr>
        <w:pStyle w:val="ONPPoint1"/>
        <w:jc w:val="both"/>
      </w:pPr>
      <w:r>
        <w:rPr>
          <w:b/>
        </w:rPr>
        <w:t xml:space="preserve">Cardinalité [0..1] : </w:t>
      </w:r>
      <w:r>
        <w:t xml:space="preserve">avec cette cardinalité, la balise peut apparaître une seule fois ou ne pas apparaître dans le fichier ou dans sa balise mère. </w:t>
      </w:r>
    </w:p>
    <w:p>
      <w:pPr>
        <w:pStyle w:val="ONPCorpsdetexte"/>
        <w:numPr>
          <w:ilvl w:val="0"/>
          <w:numId w:val="31"/>
        </w:numPr>
        <w:tabs>
          <w:tab w:val="clear" w:pos="0"/>
          <w:tab w:val="num" w:pos="1"/>
        </w:tabs>
        <w:jc w:val="both"/>
        <w:rPr>
          <w:b/>
        </w:rPr>
      </w:pPr>
      <w:r>
        <w:rPr>
          <w:b/>
        </w:rPr>
        <w:t>Cardinalité [1..1] :</w:t>
      </w:r>
      <w:r>
        <w:t xml:space="preserve"> avec cette cardinalité, la balise doit apparaître une et une seule fois dans le fichier ou dans sa balise mère, </w:t>
      </w:r>
    </w:p>
    <w:p>
      <w:pPr>
        <w:pStyle w:val="ONPCorpsdetexte"/>
        <w:numPr>
          <w:ilvl w:val="0"/>
          <w:numId w:val="31"/>
        </w:numPr>
        <w:tabs>
          <w:tab w:val="clear" w:pos="0"/>
          <w:tab w:val="num" w:pos="1"/>
        </w:tabs>
        <w:jc w:val="both"/>
        <w:rPr>
          <w:b/>
        </w:rPr>
      </w:pPr>
      <w:r>
        <w:rPr>
          <w:b/>
        </w:rPr>
        <w:t>Cardinalité [0..N] :</w:t>
      </w:r>
      <w:r>
        <w:t xml:space="preserve"> avec cette cardinalité, la balise peut ne pas apparaître ou apparaître plusieurs fois dans le fichier ou dans sa balise mère,</w:t>
      </w:r>
    </w:p>
    <w:p>
      <w:pPr>
        <w:pStyle w:val="ONPCorpsdetexte"/>
        <w:numPr>
          <w:ilvl w:val="0"/>
          <w:numId w:val="31"/>
        </w:numPr>
        <w:tabs>
          <w:tab w:val="clear" w:pos="0"/>
          <w:tab w:val="num" w:pos="1"/>
        </w:tabs>
        <w:jc w:val="both"/>
        <w:rPr>
          <w:b/>
        </w:rPr>
      </w:pPr>
      <w:r>
        <w:rPr>
          <w:b/>
        </w:rPr>
        <w:t>Cardinalité [1..N] :</w:t>
      </w:r>
      <w:r>
        <w:t xml:space="preserve"> avec cette cardinalité, la balise doit apparaître soit une fois, soit plusieurs fois dans le fichier ou dans sa balise mère.</w:t>
      </w:r>
    </w:p>
    <w:p>
      <w:pPr>
        <w:pStyle w:val="ONPCorpsdetexte"/>
        <w:ind w:left="1"/>
        <w:jc w:val="both"/>
        <w:rPr>
          <w:b/>
        </w:rPr>
      </w:pPr>
    </w:p>
    <w:p>
      <w:pPr>
        <w:pStyle w:val="ONPCorpsdetexte"/>
        <w:keepNext/>
        <w:ind w:left="1"/>
        <w:jc w:val="both"/>
        <w:rPr>
          <w:b/>
        </w:rPr>
      </w:pPr>
      <w:r>
        <w:rPr>
          <w:b/>
        </w:rPr>
        <w:t xml:space="preserve">Points d’attention : </w:t>
      </w:r>
    </w:p>
    <w:p>
      <w:pPr>
        <w:pStyle w:val="Paragraphedeliste"/>
        <w:numPr>
          <w:ilvl w:val="0"/>
          <w:numId w:val="214"/>
        </w:numPr>
        <w:jc w:val="both"/>
      </w:pPr>
      <w:r>
        <w:t xml:space="preserve">Dans INGRES, un champ non valorisé dans une balise dont la cardinalité est de type [0..1] ou [0..N], doit être représenté : </w:t>
      </w:r>
      <w:bookmarkStart w:id="171" w:name="_Toc421282785"/>
      <w:bookmarkStart w:id="172" w:name="_Toc421282880"/>
      <w:bookmarkStart w:id="173" w:name="_Toc421290657"/>
      <w:bookmarkEnd w:id="171"/>
      <w:bookmarkEnd w:id="172"/>
      <w:bookmarkEnd w:id="173"/>
    </w:p>
    <w:p>
      <w:pPr>
        <w:pStyle w:val="Paragraphedeliste"/>
        <w:numPr>
          <w:ilvl w:val="1"/>
          <w:numId w:val="214"/>
        </w:numPr>
        <w:jc w:val="both"/>
      </w:pPr>
      <w:r>
        <w:t>soit par une balise ouvrante et une balise fermante collées, aucun caractère ne doit être présent entre ces deux balises (&lt;BALISE&gt;&lt;/BALISE&gt;) ;</w:t>
      </w:r>
      <w:bookmarkStart w:id="174" w:name="_Toc421282786"/>
      <w:bookmarkStart w:id="175" w:name="_Toc421282881"/>
      <w:bookmarkStart w:id="176" w:name="_Toc421290658"/>
      <w:bookmarkEnd w:id="174"/>
      <w:bookmarkEnd w:id="175"/>
      <w:bookmarkEnd w:id="176"/>
    </w:p>
    <w:p>
      <w:pPr>
        <w:pStyle w:val="Paragraphedeliste"/>
        <w:numPr>
          <w:ilvl w:val="1"/>
          <w:numId w:val="214"/>
        </w:numPr>
        <w:jc w:val="both"/>
        <w:rPr>
          <w:b/>
        </w:rPr>
      </w:pPr>
      <w:r>
        <w:t>soit par une balise autofermante (&lt;BALISE/&gt;)</w:t>
      </w:r>
      <w:bookmarkStart w:id="177" w:name="_Toc421282787"/>
      <w:bookmarkStart w:id="178" w:name="_Toc421282882"/>
      <w:bookmarkStart w:id="179" w:name="_Toc421290659"/>
      <w:bookmarkEnd w:id="177"/>
      <w:bookmarkEnd w:id="178"/>
      <w:bookmarkEnd w:id="179"/>
    </w:p>
    <w:p>
      <w:pPr>
        <w:pStyle w:val="ONPCorpsdetexte"/>
        <w:keepNext/>
        <w:numPr>
          <w:ilvl w:val="0"/>
          <w:numId w:val="213"/>
        </w:numPr>
        <w:jc w:val="both"/>
      </w:pPr>
      <w:bookmarkStart w:id="180" w:name="_Toc421282791"/>
      <w:bookmarkStart w:id="181" w:name="_Toc421282886"/>
      <w:bookmarkStart w:id="182" w:name="_Toc421290663"/>
      <w:bookmarkEnd w:id="180"/>
      <w:bookmarkEnd w:id="181"/>
      <w:bookmarkEnd w:id="182"/>
      <w:r>
        <w:t xml:space="preserve">Dans le cas d’une balise fille dont la cardinalité est de type [1..1] ou [1..N] pour laquelle la balise mère dispose d’une cardinalité de type [0..1] ou [0..N], si sa balise mère n’apparaît pas dans le fichier alors cette balise fille ne devra pas apparaître non plus. </w:t>
      </w:r>
    </w:p>
    <w:p>
      <w:pPr>
        <w:pStyle w:val="ONPCorpsdetexte"/>
        <w:keepNext/>
        <w:ind w:left="1"/>
        <w:jc w:val="both"/>
      </w:pPr>
    </w:p>
    <w:p>
      <w:pPr>
        <w:pStyle w:val="Titre4"/>
        <w:jc w:val="both"/>
      </w:pPr>
      <w:bookmarkStart w:id="183" w:name="_Typologie_des_attributs"/>
      <w:bookmarkStart w:id="184" w:name="_Ref286946745111111111111111111111111111"/>
      <w:bookmarkStart w:id="185" w:name="_Ref286946748111111111111111111111111111"/>
      <w:bookmarkStart w:id="186" w:name="_Toc420486257"/>
      <w:bookmarkEnd w:id="183"/>
      <w:r>
        <w:t xml:space="preserve"> Typologie des attributs des référentiels portés par un fichier OGR</w:t>
      </w:r>
      <w:bookmarkEnd w:id="184"/>
      <w:bookmarkEnd w:id="185"/>
      <w:bookmarkEnd w:id="186"/>
      <w:r>
        <w:t> </w:t>
      </w:r>
    </w:p>
    <w:p>
      <w:pPr>
        <w:pStyle w:val="ONPCorpsdetexte"/>
        <w:ind w:left="1"/>
        <w:jc w:val="both"/>
      </w:pPr>
      <w:r>
        <w:t xml:space="preserve">Dans un fichier, chaque balise représente un attribut de la nomenclature (identifiant, libellé, date de début, etc.) et peut être caractérisé par l’une des typologies suivantes : </w:t>
      </w:r>
    </w:p>
    <w:p>
      <w:pPr>
        <w:pStyle w:val="ONPCorpsdetexte"/>
        <w:numPr>
          <w:ilvl w:val="0"/>
          <w:numId w:val="44"/>
        </w:numPr>
        <w:tabs>
          <w:tab w:val="clear" w:pos="720"/>
          <w:tab w:val="left" w:pos="282"/>
          <w:tab w:val="num" w:pos="609"/>
        </w:tabs>
        <w:ind w:left="608" w:hanging="759"/>
        <w:jc w:val="both"/>
        <w:rPr>
          <w:b/>
        </w:rPr>
      </w:pPr>
      <w:r>
        <w:rPr>
          <w:b/>
          <w:bCs/>
        </w:rPr>
        <w:t>Attribut fixe</w:t>
      </w:r>
      <w:r>
        <w:t> : un attribut de ce type est indépendant du temps. Il existe deux types d’attributs fixes :</w:t>
      </w:r>
    </w:p>
    <w:p>
      <w:pPr>
        <w:pStyle w:val="ONPPoint1"/>
        <w:numPr>
          <w:ilvl w:val="1"/>
          <w:numId w:val="28"/>
        </w:numPr>
        <w:tabs>
          <w:tab w:val="clear" w:pos="0"/>
          <w:tab w:val="num" w:pos="-111"/>
        </w:tabs>
        <w:ind w:left="968"/>
        <w:jc w:val="both"/>
        <w:rPr>
          <w:b/>
          <w:i/>
        </w:rPr>
      </w:pPr>
      <w:r>
        <w:rPr>
          <w:b/>
        </w:rPr>
        <w:t xml:space="preserve">Attribut fixe et unique </w:t>
      </w:r>
      <w:r>
        <w:t xml:space="preserve">: un attribut de ce type correspond à un seul objet qui n'évolue pas dans le temps. Il ne comporte qu'une seule occurrence (aucun historique n’est géré pour les attributs uniques).Les attributs correspondant à cette typologie sont décrits dans le dictionnaire de données comme étant de nature 1. </w:t>
      </w:r>
      <w:r>
        <w:br/>
      </w:r>
      <w:r>
        <w:rPr>
          <w:i/>
          <w:u w:val="single"/>
        </w:rPr>
        <w:t>Exemple</w:t>
      </w:r>
      <w:r>
        <w:rPr>
          <w:i/>
        </w:rPr>
        <w:t> : l’attribut « R_FOR_LIBCOU: Libellé court » du référentiel « SPECIALITE » est fixe et unique.</w:t>
      </w:r>
    </w:p>
    <w:p>
      <w:pPr>
        <w:pStyle w:val="ONPPoint1"/>
        <w:numPr>
          <w:ilvl w:val="1"/>
          <w:numId w:val="28"/>
        </w:numPr>
        <w:tabs>
          <w:tab w:val="clear" w:pos="0"/>
          <w:tab w:val="num" w:pos="-111"/>
        </w:tabs>
        <w:ind w:left="968"/>
        <w:jc w:val="both"/>
      </w:pPr>
      <w:r>
        <w:rPr>
          <w:b/>
        </w:rPr>
        <w:lastRenderedPageBreak/>
        <w:t>Attribut fixe et répétitif :</w:t>
      </w:r>
      <w:r>
        <w:t xml:space="preserve"> un attribut de ce type peut prendre de multiples valeurs différentes et est indépendant du temps. Un tel attribut peut comporter une occurrence par objet décrit et n’est pas forcément continu dans le temps. </w:t>
      </w:r>
    </w:p>
    <w:p>
      <w:pPr>
        <w:pStyle w:val="ONPPoint1"/>
        <w:numPr>
          <w:ilvl w:val="0"/>
          <w:numId w:val="0"/>
        </w:numPr>
        <w:tabs>
          <w:tab w:val="clear" w:pos="284"/>
          <w:tab w:val="left" w:pos="1134"/>
        </w:tabs>
        <w:spacing w:after="0"/>
        <w:ind w:left="970"/>
        <w:jc w:val="both"/>
      </w:pPr>
      <w:r>
        <w:t xml:space="preserve">Les attributs correspondant à cette typologie sont décrits dans le dictionnaire de données comme étant de nature 3. </w:t>
      </w:r>
    </w:p>
    <w:p>
      <w:pPr>
        <w:pStyle w:val="ONPPoint1"/>
        <w:numPr>
          <w:ilvl w:val="0"/>
          <w:numId w:val="0"/>
        </w:numPr>
        <w:tabs>
          <w:tab w:val="clear" w:pos="284"/>
          <w:tab w:val="left" w:pos="1134"/>
        </w:tabs>
        <w:spacing w:before="0"/>
        <w:ind w:left="970"/>
        <w:jc w:val="both"/>
        <w:rPr>
          <w:i/>
        </w:rPr>
      </w:pPr>
      <w:r>
        <w:rPr>
          <w:i/>
          <w:u w:val="single"/>
        </w:rPr>
        <w:t>Exemple</w:t>
      </w:r>
      <w:r>
        <w:rPr>
          <w:i/>
        </w:rPr>
        <w:t> : à ce stade, aucun exemple n’a été identifié</w:t>
      </w:r>
    </w:p>
    <w:p>
      <w:pPr>
        <w:pStyle w:val="ONPPoint1"/>
        <w:numPr>
          <w:ilvl w:val="0"/>
          <w:numId w:val="0"/>
        </w:numPr>
        <w:tabs>
          <w:tab w:val="clear" w:pos="284"/>
          <w:tab w:val="left" w:pos="1134"/>
          <w:tab w:val="left" w:pos="1276"/>
        </w:tabs>
        <w:ind w:left="968"/>
        <w:jc w:val="both"/>
        <w:rPr>
          <w:b/>
        </w:rPr>
      </w:pPr>
      <w:r>
        <w:rPr>
          <w:iCs/>
        </w:rPr>
        <w:t xml:space="preserve">Ces attributs sont utilisés pour gérer  les nomenclatures matérialisant les liens ou les chaînages entre différentes nomenclatures. En effet, ce type de nomenclature fait exception à la règle associant un fichier Référentiel à une nomenclature. Les informations portées par ces nomenclatures sont remontées au sein des fichiers de leur table mère sous la forme d'attributs fixes et répétitifs (cf. § </w:t>
      </w:r>
      <w:hyperlink w:anchor="_Nomenclatures_décrivant_un_1" w:history="1">
        <w:r>
          <w:rPr>
            <w:rStyle w:val="Lienhypertexte"/>
            <w:iCs/>
            <w:lang w:val="fr-FR"/>
          </w:rPr>
          <w:t>Nomenclatures décrivant un chaînage ou des liens</w:t>
        </w:r>
      </w:hyperlink>
      <w:r>
        <w:rPr>
          <w:iCs/>
        </w:rPr>
        <w:t>)</w:t>
      </w:r>
    </w:p>
    <w:p>
      <w:pPr>
        <w:pStyle w:val="ONPPoint1"/>
        <w:tabs>
          <w:tab w:val="clear" w:pos="0"/>
          <w:tab w:val="num" w:pos="-111"/>
        </w:tabs>
        <w:ind w:left="248"/>
        <w:jc w:val="both"/>
        <w:rPr>
          <w:b/>
          <w:bCs/>
        </w:rPr>
      </w:pPr>
      <w:r>
        <w:rPr>
          <w:b/>
        </w:rPr>
        <w:t>Attribut historique :</w:t>
      </w:r>
      <w:r>
        <w:t xml:space="preserve"> un attribut de ce type correspond à un objet à un instant T et la valeur qu’il peut prendre évolue dans le temps. Un tel attribut peut donc comporter plusieurs occurrences (à des instants distincts), toutes relatives à cet objet. Un attribut de ce type possède un unique critère de tri correspondant à une date de début ou une date d’effet. Il existe deux types d’attributs historiques :</w:t>
      </w:r>
    </w:p>
    <w:p>
      <w:pPr>
        <w:pStyle w:val="ONPPoint1"/>
        <w:numPr>
          <w:ilvl w:val="1"/>
          <w:numId w:val="28"/>
        </w:numPr>
        <w:tabs>
          <w:tab w:val="clear" w:pos="0"/>
          <w:tab w:val="num" w:pos="-111"/>
        </w:tabs>
        <w:ind w:left="968"/>
        <w:jc w:val="both"/>
        <w:rPr>
          <w:b/>
          <w:bCs/>
        </w:rPr>
      </w:pPr>
      <w:r>
        <w:rPr>
          <w:b/>
          <w:bCs/>
        </w:rPr>
        <w:t xml:space="preserve">Attribut historique et unique : </w:t>
      </w:r>
      <w:r>
        <w:t>un attribut de ce type peut être continu ou discontinu tel que défini ci-dessous :</w:t>
      </w:r>
    </w:p>
    <w:p>
      <w:pPr>
        <w:pStyle w:val="ONPPoint1"/>
        <w:numPr>
          <w:ilvl w:val="2"/>
          <w:numId w:val="28"/>
        </w:numPr>
        <w:tabs>
          <w:tab w:val="clear" w:pos="0"/>
          <w:tab w:val="num" w:pos="-111"/>
        </w:tabs>
        <w:ind w:left="1688"/>
        <w:jc w:val="both"/>
        <w:rPr>
          <w:b/>
          <w:bCs/>
        </w:rPr>
      </w:pPr>
      <w:r>
        <w:rPr>
          <w:b/>
          <w:bCs/>
        </w:rPr>
        <w:t>Attribut historique unique et continu</w:t>
      </w:r>
      <w:r>
        <w:t xml:space="preserve"> : un attribut de ce type prend une seule valeur à un instant T et ne présente pas de discontinuité. Les attributs correspondant à cette typologie sont décrits dans le dictionnaire de données comme étant de nature 2.</w:t>
      </w:r>
      <w:r>
        <w:br/>
      </w:r>
      <w:r>
        <w:rPr>
          <w:i/>
          <w:iCs/>
          <w:u w:val="single"/>
        </w:rPr>
        <w:t>Exemple </w:t>
      </w:r>
      <w:r>
        <w:rPr>
          <w:i/>
          <w:iCs/>
        </w:rPr>
        <w:t>: l’attribut « R_REL_SSCATE : Sous-catégories ou pseudo sous-catégories » (SOUS_CATG_STATUT) du référentiel « CORPS ».</w:t>
      </w:r>
    </w:p>
    <w:p>
      <w:pPr>
        <w:pStyle w:val="ONPPoint1"/>
        <w:numPr>
          <w:ilvl w:val="2"/>
          <w:numId w:val="28"/>
        </w:numPr>
        <w:tabs>
          <w:tab w:val="clear" w:pos="0"/>
          <w:tab w:val="num" w:pos="-111"/>
        </w:tabs>
        <w:ind w:left="1688"/>
        <w:jc w:val="both"/>
        <w:rPr>
          <w:b/>
          <w:bCs/>
        </w:rPr>
      </w:pPr>
      <w:r>
        <w:rPr>
          <w:b/>
          <w:bCs/>
        </w:rPr>
        <w:t>Attribut historique unique et discontinu</w:t>
      </w:r>
      <w:r>
        <w:t xml:space="preserve"> : un attribut de ce type peut prendre, à un instant T, soit une ou aucune valeur. Ces attributs peuvent donc présenter des discontinuités.</w:t>
      </w:r>
      <w:r>
        <w:br/>
      </w:r>
      <w:r>
        <w:rPr>
          <w:i/>
          <w:iCs/>
          <w:u w:val="single"/>
        </w:rPr>
        <w:t>Exemple </w:t>
      </w:r>
      <w:r>
        <w:rPr>
          <w:i/>
          <w:iCs/>
        </w:rPr>
        <w:t>: à ce stade, aucun exemple n’a été identifié</w:t>
      </w:r>
    </w:p>
    <w:p>
      <w:pPr>
        <w:pStyle w:val="ONPPoint1"/>
        <w:numPr>
          <w:ilvl w:val="1"/>
          <w:numId w:val="28"/>
        </w:numPr>
        <w:tabs>
          <w:tab w:val="clear" w:pos="0"/>
          <w:tab w:val="num" w:pos="-111"/>
        </w:tabs>
        <w:ind w:left="968"/>
        <w:jc w:val="both"/>
        <w:rPr>
          <w:b/>
          <w:bCs/>
        </w:rPr>
      </w:pPr>
      <w:r>
        <w:rPr>
          <w:b/>
          <w:bCs/>
        </w:rPr>
        <w:t xml:space="preserve">Attribut historique et répétitif : </w:t>
      </w:r>
      <w:r>
        <w:t>un attribut de ce type peut être continu ou discontinu tel que défini ci-dessous :</w:t>
      </w:r>
    </w:p>
    <w:p>
      <w:pPr>
        <w:pStyle w:val="ONPPoint1"/>
        <w:numPr>
          <w:ilvl w:val="2"/>
          <w:numId w:val="28"/>
        </w:numPr>
        <w:tabs>
          <w:tab w:val="clear" w:pos="0"/>
          <w:tab w:val="num" w:pos="-111"/>
        </w:tabs>
        <w:ind w:left="1688"/>
        <w:jc w:val="both"/>
        <w:rPr>
          <w:b/>
          <w:bCs/>
        </w:rPr>
      </w:pPr>
      <w:r>
        <w:rPr>
          <w:b/>
          <w:bCs/>
        </w:rPr>
        <w:t>Attribut historique répétitif et continu</w:t>
      </w:r>
      <w:r>
        <w:t xml:space="preserve"> : un attribut de ce type peut prendre différentes valeurs qui évoluent au cours du temps, mais ne présentent pas de discontinuités. Les attributs correspondant à cette typologie sont décrits dans le dictionnaire de données comme étant de nature 4.</w:t>
      </w:r>
      <w:r>
        <w:br/>
      </w:r>
      <w:r>
        <w:rPr>
          <w:i/>
          <w:iCs/>
          <w:u w:val="single"/>
        </w:rPr>
        <w:t>Exemple :</w:t>
      </w:r>
      <w:r>
        <w:rPr>
          <w:i/>
          <w:iCs/>
        </w:rPr>
        <w:t xml:space="preserve"> l’attribut « Type de population concernée » de la nomenclature POSITION_SITUATION. </w:t>
      </w:r>
    </w:p>
    <w:p>
      <w:pPr>
        <w:pStyle w:val="ONPPoint1"/>
        <w:numPr>
          <w:ilvl w:val="2"/>
          <w:numId w:val="28"/>
        </w:numPr>
        <w:jc w:val="both"/>
        <w:rPr>
          <w:i/>
          <w:iCs/>
        </w:rPr>
      </w:pPr>
      <w:r>
        <w:rPr>
          <w:b/>
          <w:bCs/>
        </w:rPr>
        <w:t>Attribut historique répétitif et discontinu</w:t>
      </w:r>
      <w:r>
        <w:t xml:space="preserve"> : un attribut de ce type peut prendre différentes valeurs qui évoluent au cours du temps pouvant présenter des discontinuités.</w:t>
      </w:r>
      <w:r>
        <w:br/>
      </w:r>
      <w:r>
        <w:rPr>
          <w:i/>
          <w:iCs/>
          <w:u w:val="single"/>
        </w:rPr>
        <w:t>Exemple </w:t>
      </w:r>
      <w:r>
        <w:rPr>
          <w:i/>
          <w:iCs/>
        </w:rPr>
        <w:t xml:space="preserve">: à ce stade, aucun exemple n’a été identifié. </w:t>
      </w:r>
    </w:p>
    <w:p>
      <w:pPr>
        <w:pStyle w:val="ONPPoint1"/>
        <w:numPr>
          <w:ilvl w:val="0"/>
          <w:numId w:val="0"/>
        </w:numPr>
        <w:ind w:left="968"/>
        <w:jc w:val="both"/>
        <w:rPr>
          <w:i/>
          <w:iCs/>
        </w:rPr>
      </w:pPr>
    </w:p>
    <w:p>
      <w:pPr>
        <w:pStyle w:val="ONPCorpsdetexte"/>
        <w:ind w:left="1"/>
        <w:jc w:val="both"/>
        <w:rPr>
          <w:b/>
          <w:bCs/>
        </w:rPr>
      </w:pPr>
    </w:p>
    <w:p>
      <w:pPr>
        <w:ind w:left="1"/>
        <w:jc w:val="both"/>
      </w:pPr>
      <w:bookmarkStart w:id="187" w:name="_Ref288559099"/>
      <w:bookmarkStart w:id="188" w:name="_Ref288559102"/>
      <w:r>
        <w:rPr>
          <w:b/>
          <w:bCs/>
          <w:u w:val="single"/>
        </w:rPr>
        <w:t>Point d’attention</w:t>
      </w:r>
      <w:r>
        <w:rPr>
          <w:b/>
          <w:bCs/>
        </w:rPr>
        <w:t xml:space="preserve"> : </w:t>
      </w:r>
    </w:p>
    <w:p>
      <w:pPr>
        <w:ind w:left="1"/>
        <w:jc w:val="both"/>
      </w:pPr>
      <w:r>
        <w:t xml:space="preserve">Certains attributs de type « répétitifs historiques » sont liés entre eux pour un référentiel donné. Dans ce cas, ces attributs sont présents au sein d’une même balise-mère dans le fichier OGR. </w:t>
      </w:r>
    </w:p>
    <w:p>
      <w:pPr>
        <w:spacing w:after="0"/>
        <w:jc w:val="both"/>
      </w:pPr>
      <w:r>
        <w:t>C’est le cas par exemple des attributs « </w:t>
      </w:r>
      <w:r>
        <w:tab/>
        <w:t xml:space="preserve">Identifiant informatique texte » (R_REL_IDTEXT) et </w:t>
      </w:r>
    </w:p>
    <w:p>
      <w:pPr>
        <w:ind w:left="1"/>
        <w:jc w:val="both"/>
      </w:pPr>
      <w:r>
        <w:t>« Identifiant nature de texte » (R_REL_NATTEX</w:t>
      </w:r>
      <w:r>
        <w:tab/>
        <w:t xml:space="preserve">) de la nomenclature « HEL-CHEVRON-texte » du référentiel « HEL_CHEVRON » qui sont regroupés au sein d’une balise R_HEL_CHEVRON_TEXTE dans la nomenclature HEL. </w:t>
      </w:r>
    </w:p>
    <w:p>
      <w:pPr>
        <w:pStyle w:val="Titre4"/>
        <w:jc w:val="both"/>
      </w:pPr>
      <w:r>
        <w:t xml:space="preserve"> Glossaire des formats utilisés</w:t>
      </w:r>
    </w:p>
    <w:p>
      <w:pPr>
        <w:pStyle w:val="ONPCorpsdetexte"/>
        <w:ind w:left="1"/>
        <w:jc w:val="both"/>
        <w:rPr>
          <w:rFonts w:ascii="Arial" w:hAnsi="Arial"/>
          <w:b/>
          <w:bCs/>
          <w:color w:val="FFFFFF"/>
          <w:sz w:val="16"/>
          <w:szCs w:val="16"/>
          <w:lang w:eastAsia="ko-KR"/>
        </w:rPr>
      </w:pPr>
      <w:r>
        <w:t>Le tableau ci-dessous présente le glossaire des formats des balises XML contenues dans les fichiers OGR :</w:t>
      </w:r>
    </w:p>
    <w:tbl>
      <w:tblPr>
        <w:tblW w:w="10206" w:type="dxa"/>
        <w:tblInd w:w="-5" w:type="dxa"/>
        <w:tblLayout w:type="fixed"/>
        <w:tblCellMar>
          <w:left w:w="70" w:type="dxa"/>
          <w:right w:w="70" w:type="dxa"/>
        </w:tblCellMar>
        <w:tblLook w:val="0000" w:firstRow="0" w:lastRow="0" w:firstColumn="0" w:lastColumn="0" w:noHBand="0" w:noVBand="0"/>
      </w:tblPr>
      <w:tblGrid>
        <w:gridCol w:w="1111"/>
        <w:gridCol w:w="786"/>
        <w:gridCol w:w="1941"/>
        <w:gridCol w:w="2616"/>
        <w:gridCol w:w="1701"/>
        <w:gridCol w:w="2051"/>
      </w:tblGrid>
      <w:tr>
        <w:trPr>
          <w:trHeight w:val="450"/>
          <w:tblHeader/>
        </w:trPr>
        <w:tc>
          <w:tcPr>
            <w:tcW w:w="1111"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jc w:val="center"/>
              <w:rPr>
                <w:rFonts w:ascii="Arial" w:hAnsi="Arial" w:cs="Arial"/>
                <w:b/>
                <w:bCs/>
                <w:color w:val="FFFFFF"/>
                <w:sz w:val="16"/>
                <w:szCs w:val="16"/>
                <w:lang w:eastAsia="ko-KR"/>
              </w:rPr>
            </w:pPr>
            <w:r>
              <w:rPr>
                <w:rFonts w:ascii="Arial" w:hAnsi="Arial" w:cs="Arial"/>
                <w:b/>
                <w:bCs/>
                <w:color w:val="FFFFFF"/>
                <w:sz w:val="16"/>
                <w:szCs w:val="16"/>
                <w:lang w:eastAsia="ko-KR"/>
              </w:rPr>
              <w:t>Nom du format</w:t>
            </w:r>
          </w:p>
        </w:tc>
        <w:tc>
          <w:tcPr>
            <w:tcW w:w="786"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jc w:val="center"/>
              <w:rPr>
                <w:rFonts w:ascii="Arial" w:hAnsi="Arial" w:cs="Arial"/>
                <w:b/>
                <w:bCs/>
                <w:color w:val="FFFFFF"/>
                <w:sz w:val="16"/>
                <w:szCs w:val="16"/>
                <w:lang w:eastAsia="ko-KR"/>
              </w:rPr>
            </w:pPr>
            <w:r>
              <w:rPr>
                <w:rFonts w:ascii="Arial" w:hAnsi="Arial" w:cs="Arial"/>
                <w:b/>
                <w:bCs/>
                <w:color w:val="FFFFFF"/>
                <w:sz w:val="16"/>
                <w:szCs w:val="16"/>
                <w:lang w:eastAsia="ko-KR"/>
              </w:rPr>
              <w:t>Code du format</w:t>
            </w:r>
          </w:p>
        </w:tc>
        <w:tc>
          <w:tcPr>
            <w:tcW w:w="1941"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jc w:val="center"/>
              <w:rPr>
                <w:rFonts w:ascii="Arial" w:hAnsi="Arial" w:cs="Arial"/>
                <w:b/>
                <w:bCs/>
                <w:color w:val="FFFFFF"/>
                <w:sz w:val="16"/>
                <w:szCs w:val="16"/>
                <w:lang w:eastAsia="ko-KR"/>
              </w:rPr>
            </w:pPr>
            <w:r>
              <w:rPr>
                <w:rFonts w:ascii="Arial" w:hAnsi="Arial" w:cs="Arial"/>
                <w:b/>
                <w:bCs/>
                <w:color w:val="FFFFFF"/>
                <w:sz w:val="16"/>
                <w:szCs w:val="16"/>
                <w:lang w:eastAsia="ko-KR"/>
              </w:rPr>
              <w:t>Longueur maximale du format</w:t>
            </w:r>
          </w:p>
        </w:tc>
        <w:tc>
          <w:tcPr>
            <w:tcW w:w="2616"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ind w:left="-38" w:firstLine="38"/>
              <w:jc w:val="center"/>
              <w:rPr>
                <w:rFonts w:ascii="Arial" w:hAnsi="Arial" w:cs="Arial"/>
                <w:b/>
                <w:bCs/>
                <w:color w:val="FFFFFF"/>
                <w:sz w:val="16"/>
                <w:szCs w:val="16"/>
                <w:lang w:eastAsia="ko-KR"/>
              </w:rPr>
            </w:pPr>
            <w:r>
              <w:rPr>
                <w:rFonts w:ascii="Arial" w:hAnsi="Arial" w:cs="Arial"/>
                <w:b/>
                <w:bCs/>
                <w:color w:val="FFFFFF"/>
                <w:sz w:val="16"/>
                <w:szCs w:val="16"/>
                <w:lang w:eastAsia="ko-KR"/>
              </w:rPr>
              <w:t>Caractères autorisés</w:t>
            </w:r>
          </w:p>
        </w:tc>
        <w:tc>
          <w:tcPr>
            <w:tcW w:w="1701"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jc w:val="center"/>
              <w:rPr>
                <w:rFonts w:ascii="Arial" w:hAnsi="Arial" w:cs="Arial"/>
                <w:b/>
                <w:bCs/>
                <w:color w:val="FFFFFF"/>
                <w:sz w:val="16"/>
                <w:szCs w:val="16"/>
                <w:lang w:eastAsia="ko-KR"/>
              </w:rPr>
            </w:pPr>
            <w:r>
              <w:rPr>
                <w:rFonts w:ascii="Arial" w:hAnsi="Arial" w:cs="Arial"/>
                <w:b/>
                <w:bCs/>
                <w:color w:val="FFFFFF"/>
                <w:sz w:val="16"/>
                <w:szCs w:val="16"/>
                <w:lang w:eastAsia="ko-KR"/>
              </w:rPr>
              <w:t>Exemple</w:t>
            </w:r>
          </w:p>
        </w:tc>
        <w:tc>
          <w:tcPr>
            <w:tcW w:w="2051" w:type="dxa"/>
            <w:tcBorders>
              <w:top w:val="single" w:sz="4" w:space="0" w:color="000000"/>
              <w:left w:val="single" w:sz="4" w:space="0" w:color="000000"/>
              <w:bottom w:val="single" w:sz="4" w:space="0" w:color="000000"/>
              <w:right w:val="single" w:sz="4" w:space="0" w:color="000000"/>
            </w:tcBorders>
            <w:shd w:val="clear" w:color="auto" w:fill="000080"/>
            <w:vAlign w:val="center"/>
          </w:tcPr>
          <w:p>
            <w:pPr>
              <w:snapToGrid w:val="0"/>
              <w:spacing w:before="0" w:after="0" w:line="100" w:lineRule="atLeast"/>
              <w:jc w:val="center"/>
            </w:pPr>
            <w:r>
              <w:rPr>
                <w:rFonts w:ascii="Arial" w:hAnsi="Arial" w:cs="Arial"/>
                <w:b/>
                <w:bCs/>
                <w:color w:val="FFFFFF"/>
                <w:sz w:val="16"/>
                <w:szCs w:val="16"/>
                <w:lang w:eastAsia="ko-KR"/>
              </w:rPr>
              <w:t>Format du noyau</w:t>
            </w:r>
          </w:p>
        </w:tc>
      </w:tr>
      <w:tr>
        <w:trPr>
          <w:trHeight w:val="1222"/>
        </w:trPr>
        <w:tc>
          <w:tcPr>
            <w:tcW w:w="1111" w:type="dxa"/>
            <w:tcBorders>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Alphanumérique majuscule*</w:t>
            </w:r>
          </w:p>
        </w:tc>
        <w:tc>
          <w:tcPr>
            <w:tcW w:w="78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X</w:t>
            </w:r>
          </w:p>
        </w:tc>
        <w:tc>
          <w:tcPr>
            <w:tcW w:w="194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261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Les caractères autorisés sont issus d’un sous ensemble de la norme ISO 8859-15 à l'exception des caractères alphabétiques minuscules de ce sous ensemble.</w:t>
            </w:r>
          </w:p>
        </w:tc>
        <w:tc>
          <w:tcPr>
            <w:tcW w:w="170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Alphanumérique de longueur 15 :</w:t>
            </w:r>
            <w:r>
              <w:rPr>
                <w:rFonts w:ascii="Arial" w:hAnsi="Arial" w:cs="Arial"/>
                <w:b/>
                <w:bCs/>
                <w:sz w:val="16"/>
                <w:szCs w:val="16"/>
                <w:lang w:eastAsia="ko-KR"/>
              </w:rPr>
              <w:t xml:space="preserve"> PROJET CISIRH 2010</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Alphanumérique (avec précision sur l’utilisation de majuscules) </w:t>
            </w:r>
          </w:p>
        </w:tc>
      </w:tr>
      <w:tr>
        <w:trPr>
          <w:trHeight w:val="956"/>
        </w:trPr>
        <w:tc>
          <w:tcPr>
            <w:tcW w:w="1111" w:type="dxa"/>
            <w:tcBorders>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Alphanumérique*</w:t>
            </w:r>
          </w:p>
        </w:tc>
        <w:tc>
          <w:tcPr>
            <w:tcW w:w="78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AN</w:t>
            </w:r>
          </w:p>
        </w:tc>
        <w:tc>
          <w:tcPr>
            <w:tcW w:w="194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261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Les caractères autorisés sont issus d’un sous ensemble de la norme ISO 8859-15</w:t>
            </w:r>
          </w:p>
        </w:tc>
        <w:tc>
          <w:tcPr>
            <w:tcW w:w="170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 xml:space="preserve">Alphanumérique de longueur 15 : </w:t>
            </w:r>
            <w:r>
              <w:rPr>
                <w:rFonts w:ascii="Arial" w:hAnsi="Arial" w:cs="Arial"/>
                <w:b/>
                <w:bCs/>
                <w:sz w:val="16"/>
                <w:szCs w:val="16"/>
                <w:lang w:eastAsia="ko-KR"/>
              </w:rPr>
              <w:t>Projet CISIRH2010</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Alphanumérique (sans précision sur l’utilisation de majuscules ou minuscules)</w:t>
            </w:r>
          </w:p>
        </w:tc>
      </w:tr>
      <w:tr>
        <w:trPr>
          <w:trHeight w:val="997"/>
        </w:trPr>
        <w:tc>
          <w:tcPr>
            <w:tcW w:w="1111" w:type="dxa"/>
            <w:tcBorders>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Alphabétique minuscule et majuscule*</w:t>
            </w:r>
          </w:p>
        </w:tc>
        <w:tc>
          <w:tcPr>
            <w:tcW w:w="78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AP</w:t>
            </w:r>
          </w:p>
        </w:tc>
        <w:tc>
          <w:tcPr>
            <w:tcW w:w="194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261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Les caractères autorisés sont issus d’un sous-ensemble de la norme ISO 8859-15 hors caractères non alphabétique de ce sous ensemble</w:t>
            </w:r>
          </w:p>
        </w:tc>
        <w:tc>
          <w:tcPr>
            <w:tcW w:w="170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 xml:space="preserve">Alphabétique de longueur 15: </w:t>
            </w:r>
            <w:r>
              <w:rPr>
                <w:rFonts w:ascii="Arial" w:hAnsi="Arial" w:cs="Arial"/>
                <w:b/>
                <w:sz w:val="16"/>
                <w:szCs w:val="16"/>
                <w:lang w:eastAsia="ko-KR"/>
              </w:rPr>
              <w:t>Projet Cisirh</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Alphabétique (sans précision sur l’utilisation de majuscules ou minuscules)</w:t>
            </w:r>
          </w:p>
        </w:tc>
      </w:tr>
      <w:tr>
        <w:trPr>
          <w:trHeight w:val="700"/>
        </w:trPr>
        <w:tc>
          <w:tcPr>
            <w:tcW w:w="1111" w:type="dxa"/>
            <w:tcBorders>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Numérique entier de longueur N</w:t>
            </w:r>
          </w:p>
        </w:tc>
        <w:tc>
          <w:tcPr>
            <w:tcW w:w="78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194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261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0, 1, 2, 3, 4, 5, 6, 7, 8, 9</w:t>
            </w:r>
          </w:p>
        </w:tc>
        <w:tc>
          <w:tcPr>
            <w:tcW w:w="170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 xml:space="preserve">Numérique entier de longueur 4 : </w:t>
            </w:r>
            <w:r>
              <w:rPr>
                <w:rFonts w:ascii="Arial" w:hAnsi="Arial" w:cs="Arial"/>
                <w:b/>
                <w:bCs/>
                <w:sz w:val="16"/>
                <w:szCs w:val="16"/>
                <w:lang w:eastAsia="ko-KR"/>
              </w:rPr>
              <w:t>1290</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Numérique entier de longueur N</w:t>
            </w:r>
          </w:p>
        </w:tc>
      </w:tr>
      <w:tr>
        <w:trPr>
          <w:trHeight w:val="2074"/>
        </w:trPr>
        <w:tc>
          <w:tcPr>
            <w:tcW w:w="1111" w:type="dxa"/>
            <w:tcBorders>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Numérique entier signé de longueur N</w:t>
            </w:r>
          </w:p>
        </w:tc>
        <w:tc>
          <w:tcPr>
            <w:tcW w:w="786" w:type="dxa"/>
            <w:tcBorders>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NS</w:t>
            </w:r>
          </w:p>
        </w:tc>
        <w:tc>
          <w:tcPr>
            <w:tcW w:w="1941" w:type="dxa"/>
            <w:tcBorders>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NS[E] se lit champ de longueur N comprenant :</w:t>
            </w:r>
            <w:r>
              <w:rPr>
                <w:rFonts w:ascii="Arial" w:hAnsi="Arial" w:cs="Arial"/>
                <w:sz w:val="16"/>
                <w:szCs w:val="16"/>
                <w:lang w:eastAsia="ko-KR"/>
              </w:rPr>
              <w:br/>
              <w:t>- Un caractère représentant le signe de la valeur numérique S : + (pour une valeur positive) ou - (pour une valeur négative)</w:t>
            </w:r>
            <w:r>
              <w:rPr>
                <w:rFonts w:ascii="Arial" w:hAnsi="Arial" w:cs="Arial"/>
                <w:sz w:val="16"/>
                <w:szCs w:val="16"/>
                <w:lang w:eastAsia="ko-KR"/>
              </w:rPr>
              <w:br/>
              <w:t xml:space="preserve">- Un nombre de caractères E représentant la valeur numérique d’entier. </w:t>
            </w:r>
          </w:p>
        </w:tc>
        <w:tc>
          <w:tcPr>
            <w:tcW w:w="2616" w:type="dxa"/>
            <w:tcBorders>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0, 1, 2, 3, 4, 5, 6, 7, 8, 9 et le signe plus "+" et moins "-"</w:t>
            </w:r>
          </w:p>
        </w:tc>
        <w:tc>
          <w:tcPr>
            <w:tcW w:w="1701" w:type="dxa"/>
            <w:tcBorders>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Numérique entier signé de longueur 3S[2] : -14</w:t>
            </w:r>
            <w:r>
              <w:rPr>
                <w:rFonts w:ascii="Arial" w:hAnsi="Arial" w:cs="Arial"/>
                <w:sz w:val="16"/>
                <w:szCs w:val="16"/>
                <w:lang w:eastAsia="ko-KR"/>
              </w:rPr>
              <w:br/>
              <w:t>Numérique entier signé de longueur 4S[3] : +038</w:t>
            </w:r>
          </w:p>
        </w:tc>
        <w:tc>
          <w:tcPr>
            <w:tcW w:w="2051" w:type="dxa"/>
            <w:tcBorders>
              <w:left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Numérique entier signé de longueur N</w:t>
            </w:r>
          </w:p>
        </w:tc>
      </w:tr>
      <w:tr>
        <w:trPr>
          <w:trHeight w:val="2259"/>
        </w:trPr>
        <w:tc>
          <w:tcPr>
            <w:tcW w:w="111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lastRenderedPageBreak/>
              <w:t>Numérique décimal de longueur N dont E nombre d’entier nécessaire et D nombre de décimales nécessaire</w:t>
            </w:r>
          </w:p>
        </w:tc>
        <w:tc>
          <w:tcPr>
            <w:tcW w:w="786" w:type="dxa"/>
            <w:tcBorders>
              <w:top w:val="single" w:sz="4" w:space="0" w:color="000000"/>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ND</w:t>
            </w:r>
          </w:p>
        </w:tc>
        <w:tc>
          <w:tcPr>
            <w:tcW w:w="194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 xml:space="preserve">N[E;D] se lit champ de longueur N comprenant : </w:t>
            </w:r>
            <w:r>
              <w:rPr>
                <w:rFonts w:ascii="Arial" w:hAnsi="Arial" w:cs="Arial"/>
                <w:sz w:val="16"/>
                <w:szCs w:val="16"/>
                <w:lang w:eastAsia="ko-KR"/>
              </w:rPr>
              <w:br/>
              <w:t xml:space="preserve">- Un nombre de caractères E représentant les entiers de la valeur numérique </w:t>
            </w:r>
            <w:r>
              <w:rPr>
                <w:rFonts w:ascii="Arial" w:hAnsi="Arial" w:cs="Arial"/>
                <w:sz w:val="16"/>
                <w:szCs w:val="16"/>
                <w:lang w:eastAsia="ko-KR"/>
              </w:rPr>
              <w:br/>
              <w:t xml:space="preserve">- Un caractère de type point ‘.’ permettant de séparer les entiers des décimales de la valeur numérique.  </w:t>
            </w:r>
            <w:r>
              <w:rPr>
                <w:rFonts w:ascii="Arial" w:hAnsi="Arial" w:cs="Arial"/>
                <w:sz w:val="16"/>
                <w:szCs w:val="16"/>
                <w:lang w:eastAsia="ko-KR"/>
              </w:rPr>
              <w:br/>
              <w:t>- Un nombre de caractères D représentant les décimales de la  valeur numérique</w:t>
            </w:r>
          </w:p>
        </w:tc>
        <w:tc>
          <w:tcPr>
            <w:tcW w:w="2616" w:type="dxa"/>
            <w:tcBorders>
              <w:top w:val="single" w:sz="4" w:space="0" w:color="000000"/>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0, 1, 2, 3, 4, 5, 6, 7, 8, 9 et le point "."</w:t>
            </w:r>
          </w:p>
        </w:tc>
        <w:tc>
          <w:tcPr>
            <w:tcW w:w="170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 xml:space="preserve">6[2;3]  : Numérique décimal de longueur 6 avec 2 entiers, un point et 3 décimales </w:t>
            </w:r>
            <w:r>
              <w:rPr>
                <w:rFonts w:ascii="Arial" w:hAnsi="Arial" w:cs="Arial"/>
                <w:sz w:val="16"/>
                <w:szCs w:val="16"/>
                <w:lang w:eastAsia="ko-KR"/>
              </w:rPr>
              <w:br/>
            </w:r>
            <w:r>
              <w:rPr>
                <w:rFonts w:ascii="Arial" w:hAnsi="Arial" w:cs="Arial"/>
                <w:sz w:val="16"/>
                <w:szCs w:val="16"/>
                <w:lang w:eastAsia="ko-KR"/>
              </w:rPr>
              <w:br/>
              <w:t>05.589 (Le point comptent comme un caractère)</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Dans le Noyau, les champs numériques ne dépassent pas deux décimales</w:t>
            </w:r>
          </w:p>
        </w:tc>
      </w:tr>
      <w:tr>
        <w:trPr>
          <w:trHeight w:val="3142"/>
        </w:trPr>
        <w:tc>
          <w:tcPr>
            <w:tcW w:w="111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Numérique décimal signé de longueur N dont E nombre d’entier nécessaire et D nombre de décimales nécessaire</w:t>
            </w:r>
          </w:p>
        </w:tc>
        <w:tc>
          <w:tcPr>
            <w:tcW w:w="786" w:type="dxa"/>
            <w:tcBorders>
              <w:top w:val="single" w:sz="4" w:space="0" w:color="000000"/>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NDS</w:t>
            </w:r>
          </w:p>
        </w:tc>
        <w:tc>
          <w:tcPr>
            <w:tcW w:w="194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 xml:space="preserve">NS[E;D] se lit champ de longueur N comprenant : </w:t>
            </w:r>
            <w:r>
              <w:rPr>
                <w:rFonts w:ascii="Arial" w:hAnsi="Arial" w:cs="Arial"/>
                <w:sz w:val="16"/>
                <w:szCs w:val="16"/>
                <w:lang w:eastAsia="ko-KR"/>
              </w:rPr>
              <w:br/>
              <w:t xml:space="preserve">- Un caractère représentant le signe de la valeur numérique S : + (pour une valeur positive) ou - (pour une valeur négative).   </w:t>
            </w:r>
            <w:r>
              <w:rPr>
                <w:rFonts w:ascii="Arial" w:hAnsi="Arial" w:cs="Arial"/>
                <w:sz w:val="16"/>
                <w:szCs w:val="16"/>
                <w:lang w:eastAsia="ko-KR"/>
              </w:rPr>
              <w:br/>
              <w:t>- Un nombre de caractères E représentant les entiers de la  valeur numérique</w:t>
            </w:r>
            <w:r>
              <w:rPr>
                <w:rFonts w:ascii="Arial" w:hAnsi="Arial" w:cs="Arial"/>
                <w:sz w:val="16"/>
                <w:szCs w:val="16"/>
                <w:lang w:eastAsia="ko-KR"/>
              </w:rPr>
              <w:br/>
              <w:t xml:space="preserve">- Un caractère point ‘.’ permettant de séparer les entiers des décimales de la valeur numérique.  </w:t>
            </w:r>
            <w:r>
              <w:rPr>
                <w:rFonts w:ascii="Arial" w:hAnsi="Arial" w:cs="Arial"/>
                <w:sz w:val="16"/>
                <w:szCs w:val="16"/>
                <w:lang w:eastAsia="ko-KR"/>
              </w:rPr>
              <w:br/>
              <w:t>- Un nombre de caractères D représentant les décimales de la  valeur numérique</w:t>
            </w:r>
          </w:p>
        </w:tc>
        <w:tc>
          <w:tcPr>
            <w:tcW w:w="2616" w:type="dxa"/>
            <w:tcBorders>
              <w:top w:val="single" w:sz="4" w:space="0" w:color="000000"/>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0, 1, 2, 3, 4, 5, 6, 7, 8, 9 et le signe plus "+" et moins "-" ainsi que le point "."</w:t>
            </w:r>
          </w:p>
        </w:tc>
        <w:tc>
          <w:tcPr>
            <w:tcW w:w="170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6S[1;3] : Numérique décimal signé de longueur 6 avec 1 entier et 3 décimales :</w:t>
            </w:r>
          </w:p>
          <w:p>
            <w:pPr>
              <w:spacing w:before="0" w:after="0" w:line="100" w:lineRule="atLeast"/>
            </w:pPr>
            <w:r>
              <w:rPr>
                <w:rFonts w:ascii="Arial" w:hAnsi="Arial" w:cs="Arial"/>
                <w:sz w:val="16"/>
                <w:szCs w:val="16"/>
                <w:lang w:eastAsia="ko-KR"/>
              </w:rPr>
              <w:t>-2.009</w:t>
            </w:r>
            <w:r>
              <w:rPr>
                <w:rFonts w:ascii="Arial" w:hAnsi="Arial" w:cs="Arial"/>
                <w:sz w:val="16"/>
                <w:szCs w:val="16"/>
                <w:lang w:eastAsia="ko-KR"/>
              </w:rPr>
              <w:br/>
              <w:t>(Le point et le signe comptent comme un caractère chacun)</w:t>
            </w: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55"/>
        </w:trPr>
        <w:tc>
          <w:tcPr>
            <w:tcW w:w="1111"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Date</w:t>
            </w:r>
          </w:p>
        </w:tc>
        <w:tc>
          <w:tcPr>
            <w:tcW w:w="786"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AAAA-MM-JJ</w:t>
            </w:r>
            <w:r>
              <w:rPr>
                <w:rStyle w:val="Caractresdenotedebasdepage"/>
                <w:rFonts w:ascii="Arial" w:hAnsi="Arial" w:cs="Arial"/>
                <w:sz w:val="16"/>
                <w:szCs w:val="16"/>
                <w:lang w:val="fr-FR"/>
              </w:rPr>
              <w:footnoteReference w:id="4"/>
            </w:r>
          </w:p>
        </w:tc>
        <w:tc>
          <w:tcPr>
            <w:tcW w:w="1941"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10</w:t>
            </w:r>
          </w:p>
        </w:tc>
        <w:tc>
          <w:tcPr>
            <w:tcW w:w="2616"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le format autorisé est issu de la norme ISO 8601</w:t>
            </w:r>
          </w:p>
        </w:tc>
        <w:tc>
          <w:tcPr>
            <w:tcW w:w="1701"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2005-12-02</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jc w:val="center"/>
            </w:pPr>
            <w:r>
              <w:rPr>
                <w:rFonts w:ascii="Arial" w:hAnsi="Arial" w:cs="Arial"/>
                <w:sz w:val="16"/>
                <w:szCs w:val="16"/>
                <w:lang w:eastAsia="ko-KR"/>
              </w:rPr>
              <w:t>JJ/MM/AAAA</w:t>
            </w:r>
          </w:p>
        </w:tc>
      </w:tr>
    </w:tbl>
    <w:p>
      <w:pPr>
        <w:ind w:left="1"/>
      </w:pPr>
    </w:p>
    <w:bookmarkEnd w:id="187"/>
    <w:bookmarkEnd w:id="188"/>
    <w:p>
      <w:pPr>
        <w:pStyle w:val="Titre30"/>
      </w:pPr>
      <w:r>
        <w:t>Format du fichier Chapeau</w:t>
      </w:r>
    </w:p>
    <w:p>
      <w:pPr>
        <w:pStyle w:val="ONPCorpsdetexte"/>
        <w:tabs>
          <w:tab w:val="left" w:pos="0"/>
        </w:tabs>
        <w:ind w:left="1"/>
        <w:jc w:val="both"/>
      </w:pPr>
      <w:r>
        <w:t xml:space="preserve">Le fichier Excel « Format du fichier Chapeau » ci-dessous présente la description détaillée du fichier « Chapeau ». </w:t>
      </w:r>
    </w:p>
    <w:bookmarkStart w:id="189" w:name="_MON_1499169203"/>
    <w:bookmarkEnd w:id="189"/>
    <w:p>
      <w:pPr>
        <w:pStyle w:val="ONPCorpsdetexte"/>
        <w:tabs>
          <w:tab w:val="left" w:pos="0"/>
        </w:tabs>
        <w:ind w:left="1"/>
        <w:jc w:val="center"/>
      </w:pPr>
      <w:r>
        <w:object w:dxaOrig="2069" w:dyaOrig="1320">
          <v:shape id="_x0000_i1030" type="#_x0000_t75" style="width:103.5pt;height:65.25pt" o:ole="">
            <v:imagedata r:id="rId24" o:title=""/>
          </v:shape>
          <o:OLEObject Type="Embed" ProgID="Excel.Sheet.8" ShapeID="_x0000_i1030" DrawAspect="Icon" ObjectID="_1781530387" r:id="rId25"/>
        </w:object>
      </w:r>
    </w:p>
    <w:p>
      <w:pPr>
        <w:pStyle w:val="ONPCorpsdetexte"/>
        <w:tabs>
          <w:tab w:val="left" w:pos="0"/>
        </w:tabs>
        <w:ind w:left="1"/>
        <w:jc w:val="both"/>
      </w:pPr>
    </w:p>
    <w:p>
      <w:pPr>
        <w:pStyle w:val="ONPCorpsdetexte"/>
        <w:tabs>
          <w:tab w:val="left" w:pos="0"/>
        </w:tabs>
        <w:ind w:left="1"/>
        <w:jc w:val="both"/>
      </w:pPr>
    </w:p>
    <w:p>
      <w:pPr>
        <w:pStyle w:val="Titre30"/>
        <w:jc w:val="both"/>
      </w:pPr>
      <w:r>
        <w:t>Format des fichiers « Référentiel »</w:t>
      </w:r>
    </w:p>
    <w:p>
      <w:pPr>
        <w:pStyle w:val="Titre4"/>
        <w:jc w:val="both"/>
      </w:pPr>
      <w:r>
        <w:t>Description générale</w:t>
      </w:r>
    </w:p>
    <w:p>
      <w:pPr>
        <w:pStyle w:val="ONPCorpsdetexte"/>
        <w:ind w:left="1"/>
        <w:jc w:val="both"/>
      </w:pPr>
      <w:r>
        <w:t>Le fichier Excel « Formats des fichiers Référentiel » ci-dessous contient 4 onglets :</w:t>
      </w:r>
    </w:p>
    <w:p>
      <w:pPr>
        <w:pStyle w:val="ONPPoint2"/>
        <w:numPr>
          <w:ilvl w:val="0"/>
          <w:numId w:val="35"/>
        </w:numPr>
        <w:tabs>
          <w:tab w:val="clear" w:pos="720"/>
          <w:tab w:val="num" w:pos="608"/>
        </w:tabs>
        <w:ind w:left="608"/>
        <w:jc w:val="both"/>
      </w:pPr>
      <w:r>
        <w:t>1 onglet décrivant le format des nomenclatures mono-structures en mode différentiel</w:t>
      </w:r>
    </w:p>
    <w:p>
      <w:pPr>
        <w:pStyle w:val="ONPPoint2"/>
        <w:numPr>
          <w:ilvl w:val="0"/>
          <w:numId w:val="35"/>
        </w:numPr>
        <w:tabs>
          <w:tab w:val="clear" w:pos="720"/>
          <w:tab w:val="num" w:pos="608"/>
        </w:tabs>
        <w:ind w:left="608"/>
        <w:jc w:val="both"/>
      </w:pPr>
      <w:r>
        <w:t>1 onglet décrivant le format des nomenclatures mono-structures booléen en mode différentiel</w:t>
      </w:r>
    </w:p>
    <w:p>
      <w:pPr>
        <w:pStyle w:val="ONPPoint2"/>
        <w:numPr>
          <w:ilvl w:val="0"/>
          <w:numId w:val="35"/>
        </w:numPr>
        <w:tabs>
          <w:tab w:val="clear" w:pos="720"/>
          <w:tab w:val="num" w:pos="608"/>
        </w:tabs>
        <w:ind w:left="608"/>
        <w:jc w:val="both"/>
      </w:pPr>
      <w:r>
        <w:t>1 onglet décrivant le format des nomenclatures mono-structures simplifiées en mode différentiel</w:t>
      </w:r>
    </w:p>
    <w:p>
      <w:pPr>
        <w:pStyle w:val="ONPPoint2"/>
        <w:numPr>
          <w:ilvl w:val="0"/>
          <w:numId w:val="35"/>
        </w:numPr>
        <w:tabs>
          <w:tab w:val="clear" w:pos="720"/>
          <w:tab w:val="num" w:pos="608"/>
        </w:tabs>
        <w:ind w:left="608"/>
        <w:jc w:val="both"/>
      </w:pPr>
      <w:r>
        <w:t>1 onglet décrivant les 5 attributs présents le plus souvent dans les nomenclatures multi-structures en mode différentiel</w:t>
      </w:r>
    </w:p>
    <w:p>
      <w:pPr>
        <w:pStyle w:val="ONPPoint2"/>
        <w:ind w:left="172"/>
        <w:jc w:val="both"/>
      </w:pPr>
      <w:r>
        <w:t>En mode complet, la structure des fichiers est identique à l’exception des 2 balises &lt;VERSION_SIT_NOM&gt; et &lt;TYPE_MAJ&gt; qui ne sont pas présentes.</w:t>
      </w:r>
    </w:p>
    <w:p>
      <w:pPr>
        <w:pStyle w:val="ONPPoint2"/>
        <w:tabs>
          <w:tab w:val="left" w:pos="6098"/>
        </w:tabs>
        <w:ind w:left="172"/>
      </w:pPr>
      <w:r>
        <w:tab/>
      </w:r>
    </w:p>
    <w:p>
      <w:pPr>
        <w:pStyle w:val="ONPPoint2"/>
        <w:ind w:left="172"/>
        <w:jc w:val="center"/>
      </w:pPr>
      <w:r>
        <w:object w:dxaOrig="2069" w:dyaOrig="1320">
          <v:shape id="_x0000_i1032" type="#_x0000_t75" style="width:79.5pt;height:50.25pt" o:ole="">
            <v:imagedata r:id="rId26" o:title=""/>
          </v:shape>
          <o:OLEObject Type="Embed" ProgID="Excel.Sheet.8" ShapeID="_x0000_i1032" DrawAspect="Icon" ObjectID="_1781530388" r:id="rId27"/>
        </w:object>
      </w:r>
    </w:p>
    <w:p>
      <w:pPr>
        <w:pStyle w:val="Titre4"/>
      </w:pPr>
      <w:r>
        <w:t>Description détaillée</w:t>
      </w:r>
    </w:p>
    <w:p>
      <w:pPr>
        <w:pStyle w:val="ONPCorpsdetexte"/>
        <w:jc w:val="both"/>
      </w:pPr>
      <w:r>
        <w:t>La description détaillée de chaque nomenclature est décrite dans le fichier « Dictionnaire des données_24.00.00.xlsx ».</w:t>
      </w:r>
    </w:p>
    <w:p>
      <w:pPr>
        <w:pStyle w:val="ONPCorpsdetexte"/>
        <w:ind w:left="1"/>
      </w:pPr>
    </w:p>
    <w:p>
      <w:pPr>
        <w:pStyle w:val="Titre2"/>
      </w:pPr>
      <w:bookmarkStart w:id="190" w:name="_Toc348374080"/>
      <w:bookmarkStart w:id="191" w:name="_Toc20761132"/>
      <w:bookmarkStart w:id="192" w:name="_Ref286850964"/>
      <w:bookmarkStart w:id="193" w:name="_Ref286850967"/>
      <w:bookmarkStart w:id="194" w:name="_Toc420486259"/>
      <w:r>
        <w:t xml:space="preserve">Règles de constitution des fichiers </w:t>
      </w:r>
      <w:bookmarkEnd w:id="190"/>
      <w:r>
        <w:t>INGRES</w:t>
      </w:r>
      <w:bookmarkEnd w:id="191"/>
    </w:p>
    <w:p>
      <w:pPr>
        <w:pStyle w:val="Titre30"/>
      </w:pPr>
      <w:bookmarkStart w:id="195" w:name="_Toc348374081"/>
      <w:r>
        <w:t>Règle de constitution du fichier INGRES « Chapeau »</w:t>
      </w:r>
      <w:bookmarkEnd w:id="195"/>
    </w:p>
    <w:p>
      <w:pPr>
        <w:ind w:left="1"/>
        <w:jc w:val="both"/>
      </w:pPr>
      <w:r>
        <w:t>Il n’y a qu’un seul fichier « Chapeau » par archive diffusée.</w:t>
      </w:r>
    </w:p>
    <w:p>
      <w:pPr>
        <w:ind w:left="1"/>
        <w:jc w:val="both"/>
      </w:pPr>
    </w:p>
    <w:p>
      <w:pPr>
        <w:pStyle w:val="Titre30"/>
        <w:jc w:val="both"/>
      </w:pPr>
      <w:bookmarkStart w:id="196" w:name="_Toc348374082"/>
      <w:r>
        <w:t>Règles de constitution des fichiers INGRES « Référentiel »</w:t>
      </w:r>
      <w:bookmarkEnd w:id="196"/>
    </w:p>
    <w:p>
      <w:pPr>
        <w:ind w:left="1"/>
        <w:jc w:val="both"/>
      </w:pPr>
      <w:r>
        <w:t>Plusieurs principes sont établis pour les échanges entre INGRES et les différents SI cibles.</w:t>
      </w:r>
    </w:p>
    <w:p>
      <w:pPr>
        <w:pStyle w:val="Titre4"/>
        <w:jc w:val="both"/>
      </w:pPr>
      <w:bookmarkStart w:id="197" w:name="_Toc348374091"/>
      <w:r>
        <w:lastRenderedPageBreak/>
        <w:t>Principe 1: Modalités de transmission des codes d’un référentiel</w:t>
      </w:r>
      <w:bookmarkEnd w:id="197"/>
    </w:p>
    <w:p>
      <w:pPr>
        <w:ind w:left="1"/>
        <w:jc w:val="both"/>
      </w:pPr>
      <w:r>
        <w:t xml:space="preserve">Lorsqu’un code de référentiel est transmis </w:t>
      </w:r>
      <w:r>
        <w:rPr>
          <w:i/>
        </w:rPr>
        <w:t>via</w:t>
      </w:r>
      <w:r>
        <w:t xml:space="preserve"> un fichier « Référentiel », l’ensemble de ses attributs doit être envoyé et ce quel que soit le mode de synchronisation utilisé (complet ou différentiel).</w:t>
      </w:r>
    </w:p>
    <w:p>
      <w:pPr>
        <w:pStyle w:val="ONPCorpsdetexte"/>
        <w:ind w:left="1"/>
        <w:jc w:val="both"/>
      </w:pPr>
      <w:r>
        <w:t>En mode complet ou en mode différentiel, si la mise à jour d'une nomenclature est réalisée sur un attribut historique dans la version diffusée, l’ensemble des situations de nomenclatures associées au code modifié est diffusé.</w:t>
      </w:r>
    </w:p>
    <w:p>
      <w:pPr>
        <w:pStyle w:val="ONPCorpsdetexte"/>
        <w:ind w:left="1"/>
        <w:jc w:val="both"/>
      </w:pPr>
    </w:p>
    <w:p>
      <w:pPr>
        <w:pStyle w:val="ONPCorpsdetexte"/>
        <w:ind w:left="1"/>
        <w:jc w:val="both"/>
      </w:pPr>
      <w:r>
        <w:rPr>
          <w:b/>
        </w:rPr>
        <w:t>Exemple</w:t>
      </w:r>
      <w:r>
        <w:t> : l'attribut grille indiciaire dans la nomenclature GRADE est historique. Supposons que 3 grilles indiciaires aient successivement été associées à un grade G1 :</w:t>
      </w:r>
    </w:p>
    <w:p>
      <w:pPr>
        <w:pStyle w:val="ONPCorpsdetexte"/>
        <w:numPr>
          <w:ilvl w:val="0"/>
          <w:numId w:val="18"/>
        </w:numPr>
        <w:tabs>
          <w:tab w:val="clear" w:pos="720"/>
          <w:tab w:val="num" w:pos="721"/>
        </w:tabs>
        <w:jc w:val="both"/>
      </w:pPr>
      <w:r>
        <w:t>Du 01/01/2001 au 31/12/01, grille indiciaire =290</w:t>
      </w:r>
    </w:p>
    <w:p>
      <w:pPr>
        <w:pStyle w:val="ONPCorpsdetexte"/>
        <w:numPr>
          <w:ilvl w:val="0"/>
          <w:numId w:val="18"/>
        </w:numPr>
        <w:tabs>
          <w:tab w:val="clear" w:pos="720"/>
          <w:tab w:val="num" w:pos="721"/>
        </w:tabs>
        <w:jc w:val="both"/>
      </w:pPr>
      <w:r>
        <w:t>Du 01/01/02 au 31/12/02, grille indiciaire=300</w:t>
      </w:r>
    </w:p>
    <w:p>
      <w:pPr>
        <w:pStyle w:val="ONPCorpsdetexte"/>
        <w:numPr>
          <w:ilvl w:val="0"/>
          <w:numId w:val="18"/>
        </w:numPr>
        <w:tabs>
          <w:tab w:val="clear" w:pos="720"/>
          <w:tab w:val="num" w:pos="721"/>
        </w:tabs>
        <w:jc w:val="both"/>
      </w:pPr>
      <w:r>
        <w:t>Du 01/01/03 à aujourd’hui, grille indiciaire=335</w:t>
      </w:r>
    </w:p>
    <w:p>
      <w:pPr>
        <w:pStyle w:val="ONPCorpsdetexte"/>
        <w:ind w:left="1"/>
        <w:jc w:val="both"/>
      </w:pPr>
      <w:r>
        <w:t>Cela donne dans la zone "Données mises à jour" à trois situations de nomenclatures qui décrivent le grade G1.</w:t>
      </w:r>
    </w:p>
    <w:p>
      <w:pPr>
        <w:ind w:left="1"/>
      </w:pPr>
    </w:p>
    <w:p>
      <w:pPr>
        <w:pStyle w:val="Titre4"/>
      </w:pPr>
      <w:r>
        <w:t>Principe 2 : Critères d’extraction en mode différentiel</w:t>
      </w:r>
    </w:p>
    <w:p>
      <w:pPr>
        <w:ind w:left="1"/>
        <w:jc w:val="both"/>
      </w:pPr>
      <w:r>
        <w:t>Seuls les codes de nomenclature disposant d’au moins une situation de nomenclature égale à la version noyau diffusée sont extraits de INGRES et diffusés.</w:t>
      </w:r>
    </w:p>
    <w:p>
      <w:pPr>
        <w:ind w:left="1"/>
        <w:jc w:val="both"/>
      </w:pPr>
      <w:r>
        <w:t>Par exemple, supposons la succession d’étapes suivantes :</w:t>
      </w:r>
    </w:p>
    <w:p>
      <w:pPr>
        <w:numPr>
          <w:ilvl w:val="0"/>
          <w:numId w:val="36"/>
        </w:numPr>
        <w:tabs>
          <w:tab w:val="clear" w:pos="0"/>
          <w:tab w:val="num" w:pos="1"/>
        </w:tabs>
        <w:jc w:val="both"/>
      </w:pPr>
      <w:r>
        <w:t>Etape 1 : la nomenclature GRADE contient en version V1.0 trois grades G1, G2 et G3.</w:t>
      </w:r>
    </w:p>
    <w:p>
      <w:pPr>
        <w:numPr>
          <w:ilvl w:val="0"/>
          <w:numId w:val="36"/>
        </w:numPr>
        <w:tabs>
          <w:tab w:val="clear" w:pos="0"/>
          <w:tab w:val="num" w:pos="1"/>
        </w:tabs>
        <w:jc w:val="both"/>
      </w:pPr>
      <w:r>
        <w:t>Etape 2 : les nomenclatures sont diffusées et intégrées dans tous les SI Partenaires.</w:t>
      </w:r>
    </w:p>
    <w:p>
      <w:pPr>
        <w:numPr>
          <w:ilvl w:val="0"/>
          <w:numId w:val="36"/>
        </w:numPr>
        <w:tabs>
          <w:tab w:val="clear" w:pos="0"/>
          <w:tab w:val="num" w:pos="1"/>
        </w:tabs>
        <w:jc w:val="both"/>
      </w:pPr>
      <w:r>
        <w:t>Etape 3 : un grade G4 est ajouté dans INGRES en version V1.1 contenant deux situations de nomenclature</w:t>
      </w:r>
    </w:p>
    <w:p>
      <w:pPr>
        <w:ind w:left="1"/>
        <w:jc w:val="both"/>
      </w:pPr>
      <w:r>
        <w:t>Lors de la diffusion de la version de diffusion de la nomenclature V1.1, en fonctionnement différentiel, INGRES diffuse les deux situations de nomenclature du grade G4 uniquement (car correspondant à une version V1.1), et non pas les codes de nomenclature qui n’ont pas été mis à jour (à savoir G1, G2 et G3) :</w:t>
      </w:r>
    </w:p>
    <w:p>
      <w:pPr>
        <w:ind w:left="1"/>
        <w:jc w:val="both"/>
        <w:rPr>
          <w:b/>
        </w:rPr>
      </w:pPr>
      <w:r>
        <w:t>Pour chaque situation de nomenclature de G4 le numéro de version « V1.1 » et le type de mise à jour « Ajouté » sont embarqués.</w:t>
      </w:r>
    </w:p>
    <w:p>
      <w:pPr>
        <w:ind w:left="1"/>
        <w:jc w:val="both"/>
        <w:rPr>
          <w:u w:val="single"/>
        </w:rPr>
      </w:pPr>
      <w:r>
        <w:rPr>
          <w:b/>
          <w:u w:val="single"/>
        </w:rPr>
        <w:t>Point d’attention</w:t>
      </w:r>
      <w:r>
        <w:rPr>
          <w:u w:val="single"/>
        </w:rPr>
        <w:t xml:space="preserve"> : </w:t>
      </w:r>
    </w:p>
    <w:p>
      <w:pPr>
        <w:ind w:left="1"/>
        <w:jc w:val="both"/>
        <w:rPr>
          <w:b/>
        </w:rPr>
      </w:pPr>
      <w:r>
        <w:t>Il est à noter que lorsqu’un code de nomenclature dispose de plusieurs situations de nomenclature et qu’au moins une situation a été modifiée ou ajoutée dans le cadre d’une nouvelle version, alors l’ensemble des situations doit être communiqué lors de la diffusion de cette nouvelle version.</w:t>
      </w:r>
    </w:p>
    <w:p>
      <w:pPr>
        <w:ind w:left="1"/>
        <w:jc w:val="both"/>
      </w:pPr>
      <w:r>
        <w:rPr>
          <w:b/>
        </w:rPr>
        <w:lastRenderedPageBreak/>
        <w:t>Exemple :</w:t>
      </w:r>
      <w:r>
        <w:t xml:space="preserve"> le tableau ci-dessous représente les situations de nomenclature diffusées dans un fichier de version 3.3</w:t>
      </w:r>
    </w:p>
    <w:p>
      <w:pPr>
        <w:pStyle w:val="ONPCorpsdetexte"/>
        <w:ind w:left="1"/>
      </w:pPr>
      <w:r>
        <w:rPr>
          <w:noProof/>
          <w:lang w:eastAsia="fr-FR"/>
        </w:rPr>
        <w:drawing>
          <wp:inline distT="0" distB="0" distL="0" distR="0">
            <wp:extent cx="5972175" cy="2085975"/>
            <wp:effectExtent l="0" t="0" r="9525"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72175" cy="2085975"/>
                    </a:xfrm>
                    <a:prstGeom prst="rect">
                      <a:avLst/>
                    </a:prstGeom>
                    <a:solidFill>
                      <a:srgbClr val="FFFFFF"/>
                    </a:solidFill>
                    <a:ln>
                      <a:noFill/>
                    </a:ln>
                  </pic:spPr>
                </pic:pic>
              </a:graphicData>
            </a:graphic>
          </wp:inline>
        </w:drawing>
      </w:r>
    </w:p>
    <w:p>
      <w:pPr>
        <w:ind w:left="1"/>
      </w:pPr>
    </w:p>
    <w:p>
      <w:pPr>
        <w:pStyle w:val="Titre4"/>
        <w:rPr>
          <w:iCs/>
        </w:rPr>
      </w:pPr>
      <w:r>
        <w:t>Principe 3 : Tri au sein des fichiers INGRES « Référentiel »</w:t>
      </w:r>
    </w:p>
    <w:p>
      <w:pPr>
        <w:ind w:left="1"/>
        <w:jc w:val="both"/>
      </w:pPr>
      <w:r>
        <w:t>Chaque fichier OGR « Référentiel » doit contenir des blocs de « situation de nomenclature » triés dans l’ordre croissant par :</w:t>
      </w:r>
    </w:p>
    <w:p>
      <w:pPr>
        <w:pStyle w:val="ONPCorpsdetexte"/>
        <w:numPr>
          <w:ilvl w:val="0"/>
          <w:numId w:val="5"/>
        </w:numPr>
        <w:tabs>
          <w:tab w:val="clear" w:pos="720"/>
          <w:tab w:val="num" w:pos="721"/>
        </w:tabs>
        <w:ind w:left="721"/>
        <w:jc w:val="both"/>
      </w:pPr>
      <w:r>
        <w:t>Codes de nomenclature</w:t>
      </w:r>
    </w:p>
    <w:p>
      <w:pPr>
        <w:pStyle w:val="ONPCorpsdetexte"/>
        <w:numPr>
          <w:ilvl w:val="0"/>
          <w:numId w:val="5"/>
        </w:numPr>
        <w:tabs>
          <w:tab w:val="clear" w:pos="720"/>
          <w:tab w:val="num" w:pos="721"/>
        </w:tabs>
        <w:ind w:left="721"/>
        <w:jc w:val="both"/>
      </w:pPr>
      <w:r>
        <w:t>Puis par date de début de situation de nomenclature</w:t>
      </w:r>
    </w:p>
    <w:p>
      <w:pPr>
        <w:pStyle w:val="ONPCorpsdetexte"/>
        <w:jc w:val="both"/>
      </w:pPr>
      <w:r>
        <w:t>Pour rappel, les blocs dits de « situation de nomenclature » sont décrits par le nom du référentiel (ex. R_FOR_GENERIQ01, R_FOR_SIMPLE01, R_GRADE, etc.)</w:t>
      </w:r>
    </w:p>
    <w:p>
      <w:pPr>
        <w:pStyle w:val="Titre4"/>
      </w:pPr>
      <w:r>
        <w:t>Principe 4 : Modification impossible des codes identifiants</w:t>
      </w:r>
    </w:p>
    <w:p>
      <w:pPr>
        <w:ind w:left="1"/>
        <w:jc w:val="both"/>
      </w:pPr>
      <w:r>
        <w:t>Aucune modification portant sur l’identifiant d’un code de nomenclature n’est autorisée</w:t>
      </w:r>
    </w:p>
    <w:p>
      <w:pPr>
        <w:pStyle w:val="Titre4"/>
        <w:jc w:val="both"/>
      </w:pPr>
      <w:r>
        <w:t>Principe 5 : Modalités de suppression de situations de nomenclature</w:t>
      </w:r>
    </w:p>
    <w:p>
      <w:pPr>
        <w:ind w:left="1"/>
        <w:jc w:val="both"/>
      </w:pPr>
      <w:r>
        <w:t>Le type de mise à jour (Supprimé) pourra être exceptionnellement utilisé selon des modalités très encadrées à définir par le CISIRH. Les situations de nomenclature dont le  type de mise à jour sera valorisé à "S" ne seront pas présentes dans les fichiers diffusés en mode complet.</w:t>
      </w:r>
    </w:p>
    <w:p>
      <w:pPr>
        <w:ind w:left="1"/>
        <w:jc w:val="both"/>
      </w:pPr>
      <w:r>
        <w:t>En termes de modalités de suppression, il est possible de supprimer une ou plusieurs situations de nomenclature à condition de respecter la continuité des situations de nomenclature</w:t>
      </w:r>
    </w:p>
    <w:p>
      <w:pPr>
        <w:pStyle w:val="Titre4"/>
      </w:pPr>
      <w:r>
        <w:tab/>
      </w:r>
      <w:r>
        <w:tab/>
        <w:t>Principe 6 : Pas d’historisation des libellés</w:t>
      </w:r>
    </w:p>
    <w:p>
      <w:pPr>
        <w:pStyle w:val="ONPCorpsdetexte"/>
        <w:ind w:left="1"/>
        <w:jc w:val="both"/>
      </w:pPr>
      <w:r>
        <w:t>Il n’est pas prévu de conserver les modifications des libellés.</w:t>
      </w:r>
    </w:p>
    <w:p>
      <w:pPr>
        <w:pStyle w:val="ONPCorpsdetexte"/>
        <w:ind w:left="1"/>
        <w:jc w:val="both"/>
      </w:pPr>
      <w:r>
        <w:t>Ainsi, si pour un code de nomenclature, un libellé a été saisi avec une erreur, il n'est pas nécessaire de conserver la trace du libellé avec erreur, puis le libellé correct à partir de la date de correction.</w:t>
      </w:r>
    </w:p>
    <w:p>
      <w:pPr>
        <w:pStyle w:val="ONPCorpsdetexte"/>
        <w:ind w:left="1"/>
        <w:jc w:val="both"/>
      </w:pPr>
      <w:r>
        <w:lastRenderedPageBreak/>
        <w:t>Par ailleurs, si le libellé d'un code de nomenclature doit être modifié pour des raisons fonctionnelles, il est plus pertinent de clôturer ce code de nomenclature et d'en créer une nouvelle avec le nouveau libellé.</w:t>
      </w:r>
    </w:p>
    <w:p>
      <w:pPr>
        <w:pStyle w:val="Titre4"/>
        <w:jc w:val="both"/>
      </w:pPr>
      <w:r>
        <w:t>Principe 7 : les codes clôturés</w:t>
      </w:r>
    </w:p>
    <w:p>
      <w:pPr>
        <w:ind w:left="1"/>
        <w:jc w:val="both"/>
      </w:pPr>
      <w:r>
        <w:t>Les codes d’une nomenclature pour lesquels une clôture a déjà été effectuée peuvent faire l’objet d’une réactivation, uniquement dans les cas suivants :</w:t>
      </w:r>
    </w:p>
    <w:p>
      <w:pPr>
        <w:numPr>
          <w:ilvl w:val="0"/>
          <w:numId w:val="23"/>
        </w:numPr>
        <w:tabs>
          <w:tab w:val="clear" w:pos="1069"/>
          <w:tab w:val="num" w:pos="1070"/>
        </w:tabs>
        <w:ind w:left="1070"/>
        <w:jc w:val="both"/>
      </w:pPr>
      <w:r>
        <w:t>Pour un référentiel externe, la réouverture d’un code clôturé est autorisée</w:t>
      </w:r>
    </w:p>
    <w:p>
      <w:pPr>
        <w:numPr>
          <w:ilvl w:val="0"/>
          <w:numId w:val="23"/>
        </w:numPr>
        <w:tabs>
          <w:tab w:val="clear" w:pos="1069"/>
          <w:tab w:val="num" w:pos="1070"/>
        </w:tabs>
        <w:ind w:left="1070"/>
        <w:jc w:val="both"/>
      </w:pPr>
      <w:r>
        <w:t>Pour les autres référentiels, la réouverture d’un code clôturé est autorisée si cette clôture a été effectuée à tort.</w:t>
      </w:r>
    </w:p>
    <w:p>
      <w:pPr>
        <w:ind w:left="1"/>
        <w:jc w:val="both"/>
      </w:pPr>
      <w:r>
        <w:t>Dans tous les cas, une étude d’impact de cette réouverture sur le reste du paramétrage est à effectuer.</w:t>
      </w:r>
    </w:p>
    <w:p>
      <w:pPr>
        <w:pStyle w:val="Titre4"/>
        <w:rPr>
          <w:iCs/>
        </w:rPr>
      </w:pPr>
      <w:r>
        <w:t>Principe 8 : Modalités de transmission des attributs multivalués (nature 3 ou 4)</w:t>
      </w:r>
    </w:p>
    <w:p>
      <w:pPr>
        <w:ind w:left="1"/>
        <w:jc w:val="both"/>
        <w:rPr>
          <w:rFonts w:cs="Times New Roman"/>
          <w:szCs w:val="24"/>
        </w:rPr>
      </w:pPr>
      <w:r>
        <w:rPr>
          <w:rFonts w:cs="Times New Roman"/>
          <w:szCs w:val="24"/>
        </w:rPr>
        <w:t xml:space="preserve">Les attributs multivalués (nature 3-multiple et 4-multiple historique) apparaissent dans les fichiers XML sous la forme de balises successives. </w:t>
      </w:r>
    </w:p>
    <w:p>
      <w:pPr>
        <w:ind w:left="1"/>
        <w:jc w:val="both"/>
        <w:rPr>
          <w:rFonts w:cs="Times New Roman"/>
          <w:szCs w:val="24"/>
        </w:rPr>
      </w:pPr>
      <w:r>
        <w:rPr>
          <w:rFonts w:cs="Times New Roman"/>
          <w:szCs w:val="24"/>
        </w:rPr>
        <w:t xml:space="preserve">Le contenu de ces attributs est diffusé dans autant de balises </w:t>
      </w:r>
      <w:r>
        <w:t>XML qu’il existe de valeurs</w:t>
      </w:r>
      <w:r>
        <w:rPr>
          <w:rFonts w:cs="Times New Roman"/>
          <w:szCs w:val="24"/>
        </w:rPr>
        <w:t xml:space="preserve"> ;</w:t>
      </w:r>
    </w:p>
    <w:p>
      <w:pPr>
        <w:ind w:left="1"/>
        <w:jc w:val="both"/>
        <w:rPr>
          <w:rFonts w:cs="Times New Roman"/>
          <w:szCs w:val="24"/>
        </w:rPr>
      </w:pPr>
      <w:r>
        <w:rPr>
          <w:rFonts w:cs="Times New Roman"/>
          <w:szCs w:val="24"/>
        </w:rPr>
        <w:t>Exemple : le code ACE02 de la nomenclature POSITIONS_SITUATION concerne 5 typologies de population. L’attribut R_REL_TYPPOP, de nature 4, est répété 5 fois.</w:t>
      </w:r>
    </w:p>
    <w:p>
      <w:pPr>
        <w:pStyle w:val="ONPCorpsdetexte"/>
        <w:spacing w:before="0" w:after="0" w:line="240" w:lineRule="atLeast"/>
        <w:ind w:left="459"/>
        <w:rPr>
          <w:rFonts w:ascii="Arial" w:hAnsi="Arial"/>
          <w:b/>
          <w:color w:val="3333FF"/>
          <w:sz w:val="18"/>
          <w:szCs w:val="18"/>
          <w:lang w:eastAsia="fr-FR"/>
        </w:rPr>
      </w:pPr>
      <w:r>
        <w:tab/>
      </w:r>
      <w:r>
        <w:tab/>
      </w:r>
      <w:r>
        <w:rPr>
          <w:rFonts w:ascii="Arial" w:hAnsi="Arial"/>
          <w:b/>
          <w:color w:val="3333FF"/>
          <w:sz w:val="18"/>
          <w:szCs w:val="18"/>
          <w:lang w:eastAsia="fr-FR"/>
        </w:rPr>
        <w:t>&lt;R_POSITION_SITUATION&gt;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val="en-US" w:eastAsia="fr-FR"/>
        </w:rPr>
        <w:t>&lt;R_FOR_IDEN05&gt;</w:t>
      </w:r>
      <w:r>
        <w:rPr>
          <w:rFonts w:ascii="Arial" w:hAnsi="Arial"/>
          <w:b/>
          <w:color w:val="FF0000"/>
          <w:sz w:val="18"/>
          <w:szCs w:val="18"/>
          <w:lang w:val="en-US" w:eastAsia="fr-FR"/>
        </w:rPr>
        <w:t>ACE02</w:t>
      </w:r>
      <w:r>
        <w:rPr>
          <w:rFonts w:ascii="Arial" w:hAnsi="Arial"/>
          <w:b/>
          <w:color w:val="3333FF"/>
          <w:sz w:val="18"/>
          <w:szCs w:val="18"/>
          <w:lang w:val="en-US" w:eastAsia="fr-FR"/>
        </w:rPr>
        <w:t>&lt;/R_FOR_IDEN05&gt;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t>&lt;R_FOR_LIBCOU&gt;</w:t>
      </w:r>
      <w:r>
        <w:rPr>
          <w:rFonts w:ascii="Arial" w:hAnsi="Arial"/>
          <w:b/>
          <w:color w:val="FF0000"/>
          <w:sz w:val="18"/>
          <w:szCs w:val="18"/>
          <w:lang w:val="en-US" w:eastAsia="fr-FR"/>
        </w:rPr>
        <w:t>Affecté ext via convent</w:t>
      </w:r>
      <w:r>
        <w:rPr>
          <w:rFonts w:ascii="Arial" w:hAnsi="Arial"/>
          <w:b/>
          <w:color w:val="3333FF"/>
          <w:sz w:val="18"/>
          <w:szCs w:val="18"/>
          <w:lang w:val="en-US" w:eastAsia="fr-FR"/>
        </w:rPr>
        <w:t>.&lt;/R_FOR_LIBCOU&gt;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eastAsia="fr-FR"/>
        </w:rPr>
        <w:t>&lt;R_FOR_LIBLON&gt;</w:t>
      </w:r>
      <w:r>
        <w:rPr>
          <w:rFonts w:ascii="Arial" w:hAnsi="Arial"/>
          <w:b/>
          <w:color w:val="FF0000"/>
          <w:sz w:val="18"/>
          <w:szCs w:val="18"/>
          <w:lang w:eastAsia="fr-FR"/>
        </w:rPr>
        <w:t>Affecté "avec remboursement" dans l'adm par une DRH externe au SIRH et payé via une conv de gestion par l'adm sur le bdg de ses pgm LOLF</w:t>
      </w:r>
      <w:r>
        <w:rPr>
          <w:rFonts w:ascii="Arial" w:hAnsi="Arial"/>
          <w:b/>
          <w:color w:val="3333FF"/>
          <w:sz w:val="18"/>
          <w:szCs w:val="18"/>
          <w:lang w:eastAsia="fr-FR"/>
        </w:rPr>
        <w:t>&lt;/R_FOR_LIBLON&gt;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t>&lt;R_FOR_LIBIMP&gt;</w:t>
      </w:r>
      <w:r>
        <w:rPr>
          <w:rFonts w:ascii="Arial" w:hAnsi="Arial"/>
          <w:b/>
          <w:color w:val="FF0000"/>
          <w:sz w:val="18"/>
          <w:szCs w:val="18"/>
          <w:lang w:eastAsia="fr-FR"/>
        </w:rPr>
        <w:t>Affecté "avec remboursement" dans l'administration par une direction des ressources humaines externe au SIRH et payé via une convention de gestion par l'administration sur le budget de ses programmes LOLF</w:t>
      </w:r>
      <w:r>
        <w:rPr>
          <w:rFonts w:ascii="Arial" w:hAnsi="Arial"/>
          <w:b/>
          <w:color w:val="3333FF"/>
          <w:sz w:val="18"/>
          <w:szCs w:val="18"/>
          <w:lang w:eastAsia="fr-FR"/>
        </w:rPr>
        <w:t>&lt;/R_FOR_LIBIMP&gt;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t>&lt;R_REL_TYPPOP&gt;</w:t>
      </w:r>
      <w:r>
        <w:rPr>
          <w:rFonts w:ascii="Arial" w:hAnsi="Arial"/>
          <w:b/>
          <w:color w:val="FF0000"/>
          <w:sz w:val="18"/>
          <w:szCs w:val="18"/>
          <w:lang w:eastAsia="fr-FR"/>
        </w:rPr>
        <w:t>M</w:t>
      </w:r>
      <w:r>
        <w:rPr>
          <w:rFonts w:ascii="Arial" w:hAnsi="Arial"/>
          <w:b/>
          <w:color w:val="3333FF"/>
          <w:sz w:val="18"/>
          <w:szCs w:val="18"/>
          <w:lang w:eastAsia="fr-FR"/>
        </w:rPr>
        <w:t>&lt;/R_REL_TYPPOP&gt;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t>&lt;R_REL_TYPPOP&gt;</w:t>
      </w:r>
      <w:r>
        <w:rPr>
          <w:rFonts w:ascii="Arial" w:hAnsi="Arial"/>
          <w:b/>
          <w:color w:val="FF0000"/>
          <w:sz w:val="18"/>
          <w:szCs w:val="18"/>
          <w:lang w:eastAsia="fr-FR"/>
        </w:rPr>
        <w:t>N</w:t>
      </w:r>
      <w:r>
        <w:rPr>
          <w:rFonts w:ascii="Arial" w:hAnsi="Arial"/>
          <w:b/>
          <w:color w:val="3333FF"/>
          <w:sz w:val="18"/>
          <w:szCs w:val="18"/>
          <w:lang w:eastAsia="fr-FR"/>
        </w:rPr>
        <w:t>&lt;/R_REL_TYPPOP&gt;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t>&lt;R_REL_TYPPOP&gt;</w:t>
      </w:r>
      <w:r>
        <w:rPr>
          <w:rFonts w:ascii="Arial" w:hAnsi="Arial"/>
          <w:b/>
          <w:color w:val="FF0000"/>
          <w:sz w:val="18"/>
          <w:szCs w:val="18"/>
          <w:lang w:eastAsia="fr-FR"/>
        </w:rPr>
        <w:t>O</w:t>
      </w:r>
      <w:r>
        <w:rPr>
          <w:rFonts w:ascii="Arial" w:hAnsi="Arial"/>
          <w:b/>
          <w:color w:val="3333FF"/>
          <w:sz w:val="18"/>
          <w:szCs w:val="18"/>
          <w:lang w:eastAsia="fr-FR"/>
        </w:rPr>
        <w:t>&lt;/R_REL_TYPPOP&gt;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val="en-US" w:eastAsia="fr-FR"/>
        </w:rPr>
        <w:t>&lt;R_REL_TYPPOP&gt;</w:t>
      </w:r>
      <w:r>
        <w:rPr>
          <w:rFonts w:ascii="Arial" w:hAnsi="Arial"/>
          <w:b/>
          <w:color w:val="FF0000"/>
          <w:sz w:val="18"/>
          <w:szCs w:val="18"/>
          <w:lang w:val="en-US" w:eastAsia="fr-FR"/>
        </w:rPr>
        <w:t>S</w:t>
      </w:r>
      <w:r>
        <w:rPr>
          <w:rFonts w:ascii="Arial" w:hAnsi="Arial"/>
          <w:b/>
          <w:color w:val="3333FF"/>
          <w:sz w:val="18"/>
          <w:szCs w:val="18"/>
          <w:lang w:val="en-US" w:eastAsia="fr-FR"/>
        </w:rPr>
        <w:t>&lt;/R_REL_TYPPOP&gt;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eastAsia="fr-FR"/>
        </w:rPr>
        <w:t>&lt;R_REL_TYPPOP&gt;</w:t>
      </w:r>
      <w:r>
        <w:rPr>
          <w:rFonts w:ascii="Arial" w:hAnsi="Arial"/>
          <w:b/>
          <w:color w:val="FF0000"/>
          <w:sz w:val="18"/>
          <w:szCs w:val="18"/>
          <w:lang w:eastAsia="fr-FR"/>
        </w:rPr>
        <w:t>T</w:t>
      </w:r>
      <w:r>
        <w:rPr>
          <w:rFonts w:ascii="Arial" w:hAnsi="Arial"/>
          <w:b/>
          <w:color w:val="3333FF"/>
          <w:sz w:val="18"/>
          <w:szCs w:val="18"/>
          <w:lang w:eastAsia="fr-FR"/>
        </w:rPr>
        <w:t>&lt;/R_REL_TYPPOP&gt;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val="en-US" w:eastAsia="fr-FR"/>
        </w:rPr>
        <w:t>&lt;R_ADM_POPAYE&gt;</w:t>
      </w:r>
      <w:r>
        <w:rPr>
          <w:rFonts w:ascii="Arial" w:hAnsi="Arial"/>
          <w:b/>
          <w:color w:val="FF0000"/>
          <w:sz w:val="18"/>
          <w:szCs w:val="18"/>
          <w:lang w:val="en-US" w:eastAsia="fr-FR"/>
        </w:rPr>
        <w:t>1</w:t>
      </w:r>
      <w:r>
        <w:rPr>
          <w:rFonts w:ascii="Arial" w:hAnsi="Arial"/>
          <w:b/>
          <w:color w:val="3333FF"/>
          <w:sz w:val="18"/>
          <w:szCs w:val="18"/>
          <w:lang w:val="en-US" w:eastAsia="fr-FR"/>
        </w:rPr>
        <w:t>&lt;/R_ADM_POPAYE&gt;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t>&lt;R_FOR_DATDEB&gt;</w:t>
      </w:r>
      <w:r>
        <w:rPr>
          <w:rFonts w:ascii="Arial" w:hAnsi="Arial"/>
          <w:b/>
          <w:color w:val="FF0000"/>
          <w:sz w:val="18"/>
          <w:szCs w:val="18"/>
          <w:lang w:val="en-US" w:eastAsia="fr-FR"/>
        </w:rPr>
        <w:t>1900-01-01</w:t>
      </w:r>
      <w:r>
        <w:rPr>
          <w:rFonts w:ascii="Arial" w:hAnsi="Arial"/>
          <w:b/>
          <w:color w:val="3333FF"/>
          <w:sz w:val="18"/>
          <w:szCs w:val="18"/>
          <w:lang w:val="en-US" w:eastAsia="fr-FR"/>
        </w:rPr>
        <w:t>&lt;/R_FOR_DATDEB&gt;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t>&lt;R_FOR_DATFIN/&gt;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t>&lt;R_REL_PSSAG1&gt;</w:t>
      </w:r>
      <w:r>
        <w:rPr>
          <w:rFonts w:ascii="Arial" w:hAnsi="Arial"/>
          <w:b/>
          <w:color w:val="FF0000"/>
          <w:sz w:val="18"/>
          <w:szCs w:val="18"/>
          <w:lang w:val="en-US" w:eastAsia="fr-FR"/>
        </w:rPr>
        <w:t>ACE00</w:t>
      </w:r>
      <w:r>
        <w:rPr>
          <w:rFonts w:ascii="Arial" w:hAnsi="Arial"/>
          <w:b/>
          <w:color w:val="3333FF"/>
          <w:sz w:val="18"/>
          <w:szCs w:val="18"/>
          <w:lang w:val="en-US" w:eastAsia="fr-FR"/>
        </w:rPr>
        <w:t>&lt;/R_REL_PSSAG1&gt;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eastAsia="fr-FR"/>
        </w:rPr>
        <w:t>&lt;R_REL_PSSAG2&gt;</w:t>
      </w:r>
      <w:r>
        <w:rPr>
          <w:rFonts w:ascii="Arial" w:hAnsi="Arial"/>
          <w:b/>
          <w:color w:val="FF0000"/>
          <w:sz w:val="18"/>
          <w:szCs w:val="18"/>
          <w:lang w:eastAsia="fr-FR"/>
        </w:rPr>
        <w:t>ACE</w:t>
      </w:r>
      <w:r>
        <w:rPr>
          <w:rFonts w:ascii="Arial" w:hAnsi="Arial"/>
          <w:b/>
          <w:color w:val="3333FF"/>
          <w:sz w:val="18"/>
          <w:szCs w:val="18"/>
          <w:lang w:eastAsia="fr-FR"/>
        </w:rPr>
        <w:t>&lt;/R_REL_PSSAG2&gt;</w:t>
      </w:r>
    </w:p>
    <w:p>
      <w:pPr>
        <w:pStyle w:val="ONPCorpsdetexte"/>
        <w:spacing w:before="0" w:after="0" w:line="240" w:lineRule="atLeast"/>
        <w:ind w:left="459"/>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t>&lt;/R_POSITION_SITUATION&gt;</w:t>
      </w:r>
    </w:p>
    <w:p>
      <w:pPr>
        <w:ind w:left="1"/>
      </w:pPr>
    </w:p>
    <w:p>
      <w:pPr>
        <w:pStyle w:val="Titre4"/>
      </w:pPr>
      <w:r>
        <w:t xml:space="preserve">Principe 9 : Modalités de transmission des tables décrivant un chaînage ou des liens </w:t>
      </w:r>
    </w:p>
    <w:p>
      <w:pPr>
        <w:pStyle w:val="ONPCorpsdetexte"/>
        <w:ind w:left="1"/>
        <w:jc w:val="both"/>
      </w:pPr>
      <w:r>
        <w:t xml:space="preserve">Les tables de lien comme celles décrivant un chaînage font exception à la règle voulant qu’un «Référentiel » concerne une seule nomenclature. </w:t>
      </w:r>
    </w:p>
    <w:p>
      <w:pPr>
        <w:ind w:left="1"/>
        <w:jc w:val="both"/>
      </w:pPr>
      <w:r>
        <w:lastRenderedPageBreak/>
        <w:t>Afin de limiter le nombre de fichiers « Référentiels » et de garantir la cohérence des informations diffusées, les différents attributs appartenant à ces tables sont remontés au niveau de leur table mère qui voit sa structure enrichie en conséquence.</w:t>
      </w:r>
    </w:p>
    <w:p>
      <w:pPr>
        <w:ind w:left="1"/>
        <w:jc w:val="both"/>
      </w:pPr>
      <w:r>
        <w:t xml:space="preserve">Ces différents attributs décrits comme appartenant à des tables de lien ou de chaînage sont traités comme des attributs présentant une nature 3 - multiple. </w:t>
      </w:r>
    </w:p>
    <w:p>
      <w:pPr>
        <w:ind w:left="1"/>
        <w:jc w:val="both"/>
        <w:rPr>
          <w:szCs w:val="24"/>
          <w:lang w:eastAsia="fr-FR"/>
        </w:rPr>
      </w:pPr>
      <w:r>
        <w:rPr>
          <w:b/>
          <w:szCs w:val="24"/>
          <w:lang w:eastAsia="fr-FR"/>
        </w:rPr>
        <w:t xml:space="preserve">Exemple : </w:t>
      </w:r>
      <w:r>
        <w:rPr>
          <w:szCs w:val="24"/>
          <w:lang w:eastAsia="fr-FR"/>
        </w:rPr>
        <w:t>le contenu des nomenclatures « Corps »,  « Corps antérieur »,  « Corps successeur », « Corps débouché », « Corps spécialisé »  et « Corps – Texte » sera diffusé au sein d’un unique fichier identifié comme correspondant à la nomenclature CORPS.</w:t>
      </w:r>
    </w:p>
    <w:p>
      <w:pPr>
        <w:ind w:left="1"/>
        <w:jc w:val="both"/>
        <w:rPr>
          <w:i/>
        </w:rPr>
      </w:pPr>
      <w:r>
        <w:t xml:space="preserve">Les nomenclatures concernées sont listés dans le paragraphe  </w:t>
      </w:r>
      <w:hyperlink w:anchor="_Nomenclatures_décrivant_un_1" w:history="1">
        <w:r>
          <w:rPr>
            <w:rStyle w:val="Lienhypertexte"/>
            <w:i/>
            <w:lang w:val="fr-FR"/>
          </w:rPr>
          <w:t>Nomenclatures décrivant un chaînage ou des liens</w:t>
        </w:r>
      </w:hyperlink>
      <w:r>
        <w:rPr>
          <w:i/>
        </w:rPr>
        <w:t>.</w:t>
      </w:r>
    </w:p>
    <w:p>
      <w:pPr>
        <w:ind w:left="1"/>
        <w:rPr>
          <w:i/>
        </w:rPr>
      </w:pPr>
    </w:p>
    <w:p>
      <w:pPr>
        <w:suppressAutoHyphens w:val="0"/>
        <w:spacing w:before="0" w:after="0" w:line="240" w:lineRule="auto"/>
        <w:rPr>
          <w:b/>
        </w:rPr>
      </w:pPr>
      <w:r>
        <w:rPr>
          <w:b/>
        </w:rPr>
        <w:br w:type="page"/>
      </w:r>
    </w:p>
    <w:p>
      <w:pPr>
        <w:ind w:left="1"/>
        <w:rPr>
          <w:b/>
          <w:u w:val="single"/>
        </w:rPr>
      </w:pPr>
      <w:r>
        <w:rPr>
          <w:b/>
          <w:u w:val="single"/>
        </w:rPr>
        <w:lastRenderedPageBreak/>
        <w:t>Point d’attention</w:t>
      </w:r>
    </w:p>
    <w:p>
      <w:pPr>
        <w:ind w:left="1"/>
        <w:jc w:val="both"/>
      </w:pPr>
      <w:r>
        <w:t>Bien que ne correspondant pas exactement à la définition d’une table de lien puisqu’elle présente une plage de validité, la même logique a été appliquée à la nomenclature CTL_CONGE_ETRA dont les attributs sont gérés comme des attributs de nature 4 – multiples historiques appartenant à la nomenclature PAYS.</w:t>
      </w:r>
    </w:p>
    <w:p>
      <w:pPr>
        <w:ind w:left="1"/>
        <w:jc w:val="both"/>
      </w:pPr>
      <w:r>
        <w:t>La nomenclature Hors échelle lettre fait également exception. Le fichier Référentiel correspondant comprend en effet, les attributs propres à HEL et ceux de la table de lien HEL_TEXTE, mais également les attributs appartenant aux nomenclatures HEL_CHEVRON et HEL_CHEVRON_TEXTE</w:t>
      </w:r>
    </w:p>
    <w:p>
      <w:pPr>
        <w:pStyle w:val="Titre4"/>
        <w:jc w:val="both"/>
        <w:rPr>
          <w:iCs/>
        </w:rPr>
      </w:pPr>
      <w:r>
        <w:t>Principe 10 : Modalités de transmission des attributs de type lien</w:t>
      </w:r>
    </w:p>
    <w:p>
      <w:pPr>
        <w:ind w:left="1"/>
        <w:jc w:val="both"/>
        <w:rPr>
          <w:szCs w:val="24"/>
          <w:lang w:eastAsia="fr-FR"/>
        </w:rPr>
      </w:pPr>
      <w:r>
        <w:rPr>
          <w:szCs w:val="24"/>
          <w:lang w:eastAsia="fr-FR"/>
        </w:rPr>
        <w:t xml:space="preserve">Un attribut de type lien est une clé étrangère est, caractérisé dans le dictionnaire de données comme étant associé à un "Référentiel lié", autrement dit comme pointant vers la clé primaire de ce référentiel. Il est permis de distinguer 2 cas : </w:t>
      </w:r>
    </w:p>
    <w:p>
      <w:pPr>
        <w:numPr>
          <w:ilvl w:val="0"/>
          <w:numId w:val="25"/>
        </w:numPr>
        <w:tabs>
          <w:tab w:val="clear" w:pos="1069"/>
          <w:tab w:val="num" w:pos="1070"/>
        </w:tabs>
        <w:jc w:val="both"/>
        <w:rPr>
          <w:szCs w:val="24"/>
          <w:lang w:eastAsia="fr-FR"/>
        </w:rPr>
      </w:pPr>
      <w:r>
        <w:rPr>
          <w:szCs w:val="24"/>
          <w:lang w:eastAsia="fr-FR"/>
        </w:rPr>
        <w:t xml:space="preserve">Le référentiel lié présente une clé primaire constituée d'un unique attribut, le plus souvent l'identifiant. Dans ce cas, la clé étrangère est renseignée avec la valeur associée à cet identifiant, </w:t>
      </w:r>
    </w:p>
    <w:p>
      <w:pPr>
        <w:numPr>
          <w:ilvl w:val="0"/>
          <w:numId w:val="25"/>
        </w:numPr>
        <w:tabs>
          <w:tab w:val="clear" w:pos="1069"/>
          <w:tab w:val="num" w:pos="1070"/>
        </w:tabs>
        <w:jc w:val="both"/>
        <w:rPr>
          <w:szCs w:val="24"/>
          <w:lang w:eastAsia="fr-FR"/>
        </w:rPr>
      </w:pPr>
      <w:r>
        <w:rPr>
          <w:szCs w:val="24"/>
          <w:lang w:eastAsia="fr-FR"/>
        </w:rPr>
        <w:t>Le référentiel lié est décrit comme ayant une clé constituée de plusieurs attributs. L’attribut clé étrangère est alors valorisé avec la concaténation du contenu des différents attributs constitutifs de cette clé, chaque contenu étant séparé par un caractère « | » (pipe). La concaténation est réalisée de façon à ce que la suite de contenus respecte l’ordre des attributs décrit dans le dictionnaire des données.</w:t>
      </w:r>
    </w:p>
    <w:p>
      <w:pPr>
        <w:ind w:left="1"/>
        <w:jc w:val="both"/>
        <w:rPr>
          <w:szCs w:val="24"/>
          <w:lang w:eastAsia="fr-FR"/>
        </w:rPr>
      </w:pPr>
      <w:r>
        <w:rPr>
          <w:b/>
          <w:szCs w:val="24"/>
          <w:lang w:eastAsia="fr-FR"/>
        </w:rPr>
        <w:t>Exemple</w:t>
      </w:r>
      <w:r>
        <w:rPr>
          <w:szCs w:val="24"/>
          <w:lang w:eastAsia="fr-FR"/>
        </w:rPr>
        <w:t xml:space="preserve"> : </w:t>
      </w:r>
    </w:p>
    <w:p>
      <w:pPr>
        <w:jc w:val="both"/>
        <w:rPr>
          <w:szCs w:val="24"/>
          <w:lang w:eastAsia="fr-FR"/>
        </w:rPr>
      </w:pPr>
      <w:r>
        <w:rPr>
          <w:szCs w:val="24"/>
          <w:lang w:eastAsia="fr-FR"/>
        </w:rPr>
        <w:t xml:space="preserve">Le dictionnaire des données indique que le référentiel GRADE est lié aux référentiels CORPS et GRILLE_IND. Il précise que </w:t>
      </w:r>
    </w:p>
    <w:p>
      <w:pPr>
        <w:pStyle w:val="Paragraphedeliste"/>
        <w:numPr>
          <w:ilvl w:val="0"/>
          <w:numId w:val="213"/>
        </w:numPr>
        <w:jc w:val="both"/>
        <w:rPr>
          <w:szCs w:val="24"/>
          <w:lang w:eastAsia="fr-FR"/>
        </w:rPr>
      </w:pPr>
      <w:r>
        <w:rPr>
          <w:szCs w:val="24"/>
          <w:lang w:eastAsia="fr-FR"/>
        </w:rPr>
        <w:t>les attributs R_REL_CORPS et R_REL_GRIIND du référentiel GRADE sont des clés étrangères,</w:t>
      </w:r>
    </w:p>
    <w:p>
      <w:pPr>
        <w:pStyle w:val="Paragraphedeliste"/>
        <w:numPr>
          <w:ilvl w:val="0"/>
          <w:numId w:val="213"/>
        </w:numPr>
        <w:jc w:val="both"/>
        <w:rPr>
          <w:szCs w:val="24"/>
          <w:lang w:eastAsia="fr-FR"/>
        </w:rPr>
      </w:pPr>
      <w:r>
        <w:rPr>
          <w:szCs w:val="24"/>
          <w:lang w:eastAsia="fr-FR"/>
        </w:rPr>
        <w:t>la clé primaire du référentiel GRILLE_IND est constituée d’un unique attribut, l’identifiant de la grille,</w:t>
      </w:r>
    </w:p>
    <w:p>
      <w:pPr>
        <w:pStyle w:val="Paragraphedeliste"/>
        <w:numPr>
          <w:ilvl w:val="0"/>
          <w:numId w:val="213"/>
        </w:numPr>
        <w:jc w:val="both"/>
        <w:rPr>
          <w:szCs w:val="24"/>
          <w:lang w:eastAsia="fr-FR"/>
        </w:rPr>
      </w:pPr>
      <w:r>
        <w:rPr>
          <w:szCs w:val="24"/>
          <w:lang w:eastAsia="fr-FR"/>
        </w:rPr>
        <w:t xml:space="preserve">La clé primaire du référentiel CORPS est constituée deux attributs mentionnés dans cet ordre : d’abord l’identifiant (ex : 117) puis la date de début de validité de la première situation de nomenclature (ex : 1984-01-01).  </w:t>
      </w:r>
    </w:p>
    <w:p>
      <w:pPr>
        <w:ind w:left="1"/>
        <w:jc w:val="both"/>
        <w:rPr>
          <w:rFonts w:ascii="Arial" w:hAnsi="Arial" w:cs="Arial"/>
          <w:b/>
          <w:color w:val="0000FF"/>
          <w:sz w:val="18"/>
          <w:szCs w:val="24"/>
          <w:lang w:eastAsia="fr-FR"/>
        </w:rPr>
      </w:pPr>
      <w:r>
        <w:rPr>
          <w:szCs w:val="24"/>
          <w:lang w:eastAsia="fr-FR"/>
        </w:rPr>
        <w:t>Dans un fichier OGR référentiel contenant des grades, la balise mère DONNEES_MAJ contiendra alors pour la grille et le corps du grade :</w:t>
      </w:r>
    </w:p>
    <w:p>
      <w:pPr>
        <w:spacing w:before="0" w:after="0" w:line="100" w:lineRule="atLeast"/>
        <w:ind w:left="1"/>
        <w:rPr>
          <w:rFonts w:ascii="Arial" w:hAnsi="Arial" w:cs="Arial"/>
          <w:b/>
          <w:color w:val="0000FF"/>
          <w:sz w:val="18"/>
          <w:szCs w:val="24"/>
          <w:lang w:eastAsia="fr-FR"/>
        </w:rPr>
      </w:pPr>
      <w:r>
        <w:rPr>
          <w:rFonts w:ascii="Arial" w:hAnsi="Arial" w:cs="Arial"/>
          <w:b/>
          <w:color w:val="0000FF"/>
          <w:sz w:val="18"/>
          <w:szCs w:val="24"/>
          <w:lang w:eastAsia="fr-FR"/>
        </w:rPr>
        <w:t xml:space="preserve">   &lt;R_REL_GRIIND&gt;</w:t>
      </w:r>
      <w:r>
        <w:rPr>
          <w:rFonts w:ascii="Arial" w:hAnsi="Arial" w:cs="Arial"/>
          <w:b/>
          <w:color w:val="FF0000"/>
          <w:sz w:val="18"/>
          <w:szCs w:val="24"/>
          <w:lang w:eastAsia="fr-FR"/>
        </w:rPr>
        <w:t>1</w:t>
      </w:r>
      <w:r>
        <w:rPr>
          <w:rFonts w:ascii="Arial" w:hAnsi="Arial" w:cs="Arial"/>
          <w:b/>
          <w:color w:val="0000FF"/>
          <w:sz w:val="18"/>
          <w:szCs w:val="24"/>
          <w:lang w:eastAsia="fr-FR"/>
        </w:rPr>
        <w:t xml:space="preserve">&lt;/R_REL_GRIIND&gt; </w:t>
      </w:r>
      <w:r>
        <w:rPr>
          <w:rFonts w:ascii="Arial" w:hAnsi="Arial" w:cs="Arial"/>
          <w:i/>
          <w:color w:val="0000FF"/>
          <w:sz w:val="16"/>
          <w:szCs w:val="16"/>
          <w:lang w:eastAsia="fr-FR"/>
        </w:rPr>
        <w:t>=&gt; Clé de la table "Grilles indiciaires ou échelles”</w:t>
      </w:r>
    </w:p>
    <w:p>
      <w:pPr>
        <w:pStyle w:val="ONPCorpsdetexte"/>
        <w:ind w:left="1"/>
        <w:rPr>
          <w:rFonts w:ascii="Arial" w:hAnsi="Arial"/>
          <w:i/>
          <w:color w:val="0000FF"/>
          <w:sz w:val="16"/>
          <w:szCs w:val="16"/>
          <w:lang w:eastAsia="fr-FR"/>
        </w:rPr>
      </w:pPr>
      <w:r>
        <w:rPr>
          <w:rFonts w:ascii="Arial" w:hAnsi="Arial"/>
          <w:b/>
          <w:color w:val="0000FF"/>
          <w:sz w:val="18"/>
          <w:szCs w:val="24"/>
          <w:lang w:eastAsia="fr-FR"/>
        </w:rPr>
        <w:t xml:space="preserve">   &lt;R_REL_CORPS&gt;</w:t>
      </w:r>
      <w:r>
        <w:rPr>
          <w:rFonts w:ascii="Arial" w:hAnsi="Arial"/>
          <w:b/>
          <w:color w:val="FF0000"/>
          <w:sz w:val="18"/>
          <w:szCs w:val="24"/>
          <w:lang w:eastAsia="fr-FR"/>
        </w:rPr>
        <w:t>117|2012-01-01</w:t>
      </w:r>
      <w:r>
        <w:rPr>
          <w:rFonts w:ascii="Arial" w:hAnsi="Arial"/>
          <w:b/>
          <w:color w:val="0000FF"/>
          <w:sz w:val="18"/>
          <w:szCs w:val="24"/>
          <w:lang w:eastAsia="fr-FR"/>
        </w:rPr>
        <w:t xml:space="preserve">&lt;/R_REL_CORPS&gt; </w:t>
      </w:r>
      <w:r>
        <w:rPr>
          <w:rFonts w:ascii="Arial" w:hAnsi="Arial"/>
          <w:i/>
          <w:color w:val="0000FF"/>
          <w:sz w:val="16"/>
          <w:szCs w:val="16"/>
          <w:lang w:eastAsia="fr-FR"/>
        </w:rPr>
        <w:t>=&gt; Clé de la table "Corps”</w:t>
      </w:r>
    </w:p>
    <w:p>
      <w:pPr>
        <w:ind w:left="1"/>
      </w:pPr>
    </w:p>
    <w:p>
      <w:pPr>
        <w:pStyle w:val="Titre1"/>
      </w:pPr>
      <w:bookmarkStart w:id="198" w:name="_Toc264044610"/>
      <w:bookmarkStart w:id="199" w:name="_Toc271313139"/>
      <w:bookmarkStart w:id="200" w:name="_Toc343158890"/>
      <w:bookmarkStart w:id="201" w:name="_Toc20761133"/>
      <w:bookmarkStart w:id="202" w:name="_Ref289851235"/>
      <w:bookmarkStart w:id="203" w:name="_Ref289851237"/>
      <w:bookmarkStart w:id="204" w:name="_Ref289851860"/>
      <w:bookmarkStart w:id="205" w:name="_Ref289851862"/>
      <w:bookmarkStart w:id="206" w:name="_Ref289852866"/>
      <w:bookmarkStart w:id="207" w:name="_Ref289852868"/>
      <w:bookmarkStart w:id="208" w:name="_Toc420486263"/>
      <w:bookmarkEnd w:id="192"/>
      <w:bookmarkEnd w:id="193"/>
      <w:bookmarkEnd w:id="194"/>
      <w:r>
        <w:lastRenderedPageBreak/>
        <w:t xml:space="preserve">Description technique </w:t>
      </w:r>
      <w:bookmarkEnd w:id="198"/>
      <w:bookmarkEnd w:id="199"/>
      <w:r>
        <w:t>des interfaces de diffusion</w:t>
      </w:r>
      <w:bookmarkEnd w:id="200"/>
      <w:bookmarkEnd w:id="201"/>
    </w:p>
    <w:p>
      <w:pPr>
        <w:pStyle w:val="Titre2"/>
        <w:rPr>
          <w:webHidden/>
        </w:rPr>
      </w:pPr>
      <w:bookmarkStart w:id="209" w:name="_Toc20761134"/>
      <w:bookmarkStart w:id="210" w:name="_Toc264044612"/>
      <w:bookmarkStart w:id="211" w:name="_Toc271313141"/>
      <w:r>
        <w:rPr>
          <w:webHidden/>
        </w:rPr>
        <w:t>Vision globale</w:t>
      </w:r>
      <w:bookmarkEnd w:id="209"/>
    </w:p>
    <w:p>
      <w:pPr>
        <w:pStyle w:val="ONPCorpsdetexte"/>
        <w:jc w:val="both"/>
        <w:rPr>
          <w:webHidden/>
        </w:rPr>
      </w:pPr>
      <w:r>
        <w:rPr>
          <w:webHidden/>
        </w:rPr>
        <w:t>Le diagramme ci-dessous présente la vision globale des échanges entre INGRES et les différentes SI de la chaîne RH/Paye/Post-paye : </w:t>
      </w:r>
    </w:p>
    <w:p>
      <w:r>
        <w:rPr>
          <w:noProof/>
          <w:lang w:eastAsia="fr-FR"/>
        </w:rPr>
        <w:drawing>
          <wp:inline distT="0" distB="0" distL="0" distR="0">
            <wp:extent cx="5851525" cy="30981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SE.png"/>
                    <pic:cNvPicPr/>
                  </pic:nvPicPr>
                  <pic:blipFill>
                    <a:blip r:embed="rId29">
                      <a:extLst>
                        <a:ext uri="{28A0092B-C50C-407E-A947-70E740481C1C}">
                          <a14:useLocalDpi xmlns:a14="http://schemas.microsoft.com/office/drawing/2010/main" val="0"/>
                        </a:ext>
                      </a:extLst>
                    </a:blip>
                    <a:stretch>
                      <a:fillRect/>
                    </a:stretch>
                  </pic:blipFill>
                  <pic:spPr>
                    <a:xfrm>
                      <a:off x="0" y="0"/>
                      <a:ext cx="5851525" cy="3098165"/>
                    </a:xfrm>
                    <a:prstGeom prst="rect">
                      <a:avLst/>
                    </a:prstGeom>
                  </pic:spPr>
                </pic:pic>
              </a:graphicData>
            </a:graphic>
          </wp:inline>
        </w:drawing>
      </w:r>
    </w:p>
    <w:p/>
    <w:p>
      <w:pPr>
        <w:pStyle w:val="Titre2"/>
        <w:rPr>
          <w:webHidden/>
        </w:rPr>
      </w:pPr>
      <w:bookmarkStart w:id="212" w:name="_Toc20761135"/>
      <w:r>
        <w:rPr>
          <w:webHidden/>
        </w:rPr>
        <w:t>Périmètre du document</w:t>
      </w:r>
      <w:bookmarkEnd w:id="212"/>
    </w:p>
    <w:p>
      <w:pPr>
        <w:tabs>
          <w:tab w:val="left" w:pos="0"/>
        </w:tabs>
        <w:jc w:val="both"/>
      </w:pPr>
      <w:r>
        <w:t>Il existe deux types de flux. Les flux entrants en provenance de différents partenaires et les flux sortant issus de l’application INGRES.</w:t>
      </w:r>
    </w:p>
    <w:p>
      <w:pPr>
        <w:tabs>
          <w:tab w:val="left" w:pos="0"/>
        </w:tabs>
        <w:jc w:val="both"/>
      </w:pPr>
      <w:r>
        <w:t>Seuls les échanges sortants entre INGRES et ses différents SI cibles sont décrits dans ce document.</w:t>
      </w:r>
    </w:p>
    <w:p>
      <w:pPr>
        <w:pStyle w:val="Titre2"/>
        <w:rPr>
          <w:webHidden/>
        </w:rPr>
      </w:pPr>
      <w:bookmarkStart w:id="213" w:name="_Toc20761136"/>
      <w:r>
        <w:rPr>
          <w:webHidden/>
        </w:rPr>
        <w:t>SI clients</w:t>
      </w:r>
      <w:bookmarkEnd w:id="213"/>
    </w:p>
    <w:p>
      <w:pPr>
        <w:jc w:val="both"/>
      </w:pPr>
      <w:r>
        <w:t xml:space="preserve">Les clients de l’outil INGRES actuellement identifiés comme devant intégrer les nomenclatures diffusées dans leur SI sont : </w:t>
      </w:r>
    </w:p>
    <w:p>
      <w:pPr>
        <w:pStyle w:val="Paragraphedeliste"/>
        <w:numPr>
          <w:ilvl w:val="0"/>
          <w:numId w:val="217"/>
        </w:numPr>
        <w:jc w:val="both"/>
      </w:pPr>
      <w:r>
        <w:t>les SIRH des ministères ;</w:t>
      </w:r>
    </w:p>
    <w:p>
      <w:pPr>
        <w:pStyle w:val="Paragraphedeliste"/>
        <w:numPr>
          <w:ilvl w:val="0"/>
          <w:numId w:val="217"/>
        </w:numPr>
        <w:jc w:val="both"/>
      </w:pPr>
      <w:r>
        <w:t>le SI du service des retraites de l’Etat (SRE) ;</w:t>
      </w:r>
    </w:p>
    <w:p>
      <w:pPr>
        <w:pStyle w:val="Paragraphedeliste"/>
        <w:numPr>
          <w:ilvl w:val="0"/>
          <w:numId w:val="217"/>
        </w:numPr>
        <w:jc w:val="both"/>
      </w:pPr>
      <w:r>
        <w:rPr>
          <w:color w:val="000000"/>
          <w:szCs w:val="22"/>
        </w:rPr>
        <w:t xml:space="preserve">l’application GRECO </w:t>
      </w:r>
      <w:r>
        <w:rPr>
          <w:sz w:val="22"/>
          <w:szCs w:val="22"/>
        </w:rPr>
        <w:t xml:space="preserve">qui permet aux ministères de déclarer les ouvertures de concours </w:t>
      </w:r>
    </w:p>
    <w:p>
      <w:pPr>
        <w:pStyle w:val="Paragraphedeliste"/>
        <w:numPr>
          <w:ilvl w:val="0"/>
          <w:numId w:val="217"/>
        </w:numPr>
        <w:jc w:val="both"/>
      </w:pPr>
      <w:r>
        <w:t xml:space="preserve">le Système Décisionnel de </w:t>
      </w:r>
      <w:hyperlink r:id="rId30" w:history="1">
        <w:r>
          <w:rPr>
            <w:rStyle w:val="Lienhypertexte"/>
            <w:color w:val="auto"/>
            <w:lang w:val="fr-FR"/>
          </w:rPr>
          <w:t>RenoiRH</w:t>
        </w:r>
      </w:hyperlink>
      <w:r>
        <w:t xml:space="preserve"> </w:t>
      </w:r>
    </w:p>
    <w:p>
      <w:pPr>
        <w:pStyle w:val="ONPCorpsdetexte"/>
        <w:jc w:val="both"/>
        <w:rPr>
          <w:rFonts w:ascii="Arial" w:hAnsi="Arial"/>
          <w:sz w:val="22"/>
          <w:szCs w:val="22"/>
        </w:rPr>
      </w:pPr>
    </w:p>
    <w:p>
      <w:pPr>
        <w:pStyle w:val="ONPCorpsdetexte"/>
        <w:jc w:val="both"/>
        <w:rPr>
          <w:rFonts w:ascii="Arial" w:hAnsi="Arial"/>
          <w:sz w:val="22"/>
          <w:szCs w:val="22"/>
        </w:rPr>
      </w:pPr>
      <w:r>
        <w:rPr>
          <w:rFonts w:ascii="Arial" w:hAnsi="Arial"/>
          <w:sz w:val="22"/>
          <w:szCs w:val="22"/>
        </w:rPr>
        <w:t>Chaque client est identifié par un code unique sur 6 caractères constitué  par :</w:t>
      </w:r>
    </w:p>
    <w:p>
      <w:pPr>
        <w:pStyle w:val="ONPCorpsdetexte"/>
        <w:numPr>
          <w:ilvl w:val="0"/>
          <w:numId w:val="219"/>
        </w:numPr>
        <w:jc w:val="both"/>
        <w:rPr>
          <w:rFonts w:ascii="Arial" w:hAnsi="Arial"/>
          <w:sz w:val="22"/>
          <w:szCs w:val="22"/>
        </w:rPr>
      </w:pPr>
      <w:r>
        <w:rPr>
          <w:rFonts w:ascii="Arial" w:hAnsi="Arial"/>
          <w:sz w:val="22"/>
          <w:szCs w:val="22"/>
        </w:rPr>
        <w:t xml:space="preserve">Le Trigramme attribué au partenaire </w:t>
      </w:r>
      <w:r>
        <w:rPr>
          <w:rFonts w:ascii="Arial" w:hAnsi="Arial"/>
          <w:sz w:val="22"/>
          <w:szCs w:val="22"/>
        </w:rPr>
        <w:tab/>
      </w:r>
    </w:p>
    <w:p>
      <w:pPr>
        <w:pStyle w:val="ONPCorpsdetexte"/>
        <w:numPr>
          <w:ilvl w:val="1"/>
          <w:numId w:val="219"/>
        </w:numPr>
        <w:jc w:val="both"/>
        <w:rPr>
          <w:rFonts w:ascii="Arial" w:hAnsi="Arial"/>
          <w:sz w:val="22"/>
          <w:szCs w:val="22"/>
        </w:rPr>
      </w:pPr>
      <w:r>
        <w:rPr>
          <w:rFonts w:ascii="Arial" w:hAnsi="Arial"/>
          <w:sz w:val="22"/>
          <w:szCs w:val="22"/>
        </w:rPr>
        <w:t>SIR pour les SIRH</w:t>
      </w:r>
    </w:p>
    <w:p>
      <w:pPr>
        <w:pStyle w:val="ONPCorpsdetexte"/>
        <w:numPr>
          <w:ilvl w:val="1"/>
          <w:numId w:val="219"/>
        </w:numPr>
        <w:jc w:val="both"/>
        <w:rPr>
          <w:rFonts w:ascii="Arial" w:hAnsi="Arial"/>
          <w:sz w:val="22"/>
          <w:szCs w:val="22"/>
        </w:rPr>
      </w:pPr>
      <w:r>
        <w:rPr>
          <w:rFonts w:ascii="Arial" w:hAnsi="Arial"/>
          <w:sz w:val="22"/>
          <w:szCs w:val="22"/>
        </w:rPr>
        <w:t>SIM pour INDIA REMU</w:t>
      </w:r>
    </w:p>
    <w:p>
      <w:pPr>
        <w:pStyle w:val="Paragraphedeliste"/>
        <w:numPr>
          <w:ilvl w:val="1"/>
          <w:numId w:val="219"/>
        </w:numPr>
        <w:jc w:val="both"/>
      </w:pPr>
      <w:r>
        <w:rPr>
          <w:rFonts w:ascii="Arial" w:hAnsi="Arial"/>
          <w:sz w:val="22"/>
          <w:szCs w:val="22"/>
        </w:rPr>
        <w:t>SIG pour GRECO</w:t>
      </w:r>
    </w:p>
    <w:p>
      <w:pPr>
        <w:pStyle w:val="Paragraphedeliste"/>
        <w:numPr>
          <w:ilvl w:val="1"/>
          <w:numId w:val="219"/>
        </w:numPr>
        <w:jc w:val="both"/>
      </w:pPr>
      <w:r>
        <w:rPr>
          <w:rFonts w:ascii="Arial" w:hAnsi="Arial"/>
          <w:sz w:val="22"/>
          <w:szCs w:val="22"/>
        </w:rPr>
        <w:t xml:space="preserve">SID pour </w:t>
      </w:r>
      <w:r>
        <w:t xml:space="preserve">Système Décisionnel de </w:t>
      </w:r>
      <w:hyperlink r:id="rId31" w:history="1">
        <w:r>
          <w:rPr>
            <w:rStyle w:val="Lienhypertexte"/>
            <w:color w:val="auto"/>
            <w:lang w:val="fr-FR"/>
          </w:rPr>
          <w:t>RenoiRH</w:t>
        </w:r>
      </w:hyperlink>
      <w:r>
        <w:t xml:space="preserve"> </w:t>
      </w:r>
    </w:p>
    <w:p>
      <w:pPr>
        <w:pStyle w:val="ONPCorpsdetexte"/>
        <w:numPr>
          <w:ilvl w:val="0"/>
          <w:numId w:val="219"/>
        </w:numPr>
        <w:jc w:val="both"/>
        <w:rPr>
          <w:rFonts w:ascii="Arial" w:hAnsi="Arial"/>
          <w:sz w:val="22"/>
          <w:szCs w:val="22"/>
        </w:rPr>
      </w:pPr>
      <w:r>
        <w:rPr>
          <w:rFonts w:ascii="Arial" w:hAnsi="Arial"/>
          <w:sz w:val="22"/>
          <w:szCs w:val="22"/>
        </w:rPr>
        <w:t>Un nom sur 3 positions 001, …</w:t>
      </w:r>
      <w:r>
        <w:rPr>
          <w:rFonts w:ascii="Arial" w:hAnsi="Arial"/>
          <w:sz w:val="22"/>
          <w:szCs w:val="22"/>
        </w:rPr>
        <w:tab/>
      </w:r>
    </w:p>
    <w:p>
      <w:pPr>
        <w:pStyle w:val="ONPCorpsdetexte"/>
        <w:suppressAutoHyphens w:val="0"/>
        <w:ind w:left="1080"/>
        <w:jc w:val="both"/>
        <w:rPr>
          <w:rFonts w:ascii="Arial" w:hAnsi="Arial"/>
          <w:sz w:val="22"/>
          <w:szCs w:val="22"/>
        </w:rPr>
      </w:pPr>
    </w:p>
    <w:p>
      <w:pPr>
        <w:jc w:val="both"/>
        <w:rPr>
          <w:szCs w:val="22"/>
        </w:rPr>
      </w:pPr>
    </w:p>
    <w:p>
      <w:pPr>
        <w:pStyle w:val="Titre2"/>
        <w:jc w:val="both"/>
        <w:rPr>
          <w:noProof/>
        </w:rPr>
      </w:pPr>
      <w:bookmarkStart w:id="214" w:name="_Toc334096746"/>
      <w:bookmarkStart w:id="215" w:name="_Toc343158893"/>
      <w:bookmarkStart w:id="216" w:name="_Toc20761137"/>
      <w:bookmarkEnd w:id="210"/>
      <w:bookmarkEnd w:id="211"/>
      <w:r>
        <w:rPr>
          <w:noProof/>
        </w:rPr>
        <w:t>Description des interface</w:t>
      </w:r>
      <w:bookmarkEnd w:id="214"/>
      <w:bookmarkEnd w:id="215"/>
      <w:r>
        <w:rPr>
          <w:noProof/>
        </w:rPr>
        <w:t>s</w:t>
      </w:r>
      <w:bookmarkEnd w:id="216"/>
    </w:p>
    <w:p>
      <w:pPr>
        <w:pStyle w:val="ONPCorpsdetexte"/>
        <w:jc w:val="both"/>
      </w:pPr>
      <w:bookmarkStart w:id="217" w:name="__RefHeading__1655_1378251362"/>
      <w:bookmarkStart w:id="218" w:name="__RefHeading__1657_1378251362"/>
      <w:bookmarkStart w:id="219" w:name="__RefHeading__1659_1378251362"/>
      <w:bookmarkStart w:id="220" w:name="__RefHeading__1663_1378251362"/>
      <w:bookmarkStart w:id="221" w:name="__RefHeading__1665_1378251362"/>
      <w:bookmarkStart w:id="222" w:name="__RefHeading__1667_1378251362"/>
      <w:bookmarkStart w:id="223" w:name="__RefHeading__1669_1378251362"/>
      <w:bookmarkStart w:id="224" w:name="__RefHeading__19319_311501736"/>
      <w:bookmarkStart w:id="225" w:name="__RefHeading__18856_311501736"/>
      <w:bookmarkStart w:id="226" w:name="__RefHeading__1701_1378251362"/>
      <w:bookmarkStart w:id="227" w:name="__RefHeading__2143_1378251362"/>
      <w:bookmarkStart w:id="228" w:name="__RefHeading__19908_1827164272"/>
      <w:bookmarkStart w:id="229" w:name="__RefHeading__20309_1827164272"/>
      <w:bookmarkStart w:id="230" w:name="__RefHeading__20892_182716427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cs="Times New Roman"/>
        </w:rPr>
        <w:t xml:space="preserve"> </w:t>
      </w:r>
      <w:r>
        <w:t xml:space="preserve">Il existe deux interfaces sortantes en provenance de INGRES. </w:t>
      </w:r>
    </w:p>
    <w:p>
      <w:pPr>
        <w:pStyle w:val="ONPPoint1"/>
        <w:jc w:val="both"/>
        <w:rPr>
          <w:webHidden/>
        </w:rPr>
      </w:pPr>
      <w:r>
        <w:t>La 1</w:t>
      </w:r>
      <w:r>
        <w:rPr>
          <w:vertAlign w:val="superscript"/>
        </w:rPr>
        <w:t>ère</w:t>
      </w:r>
      <w:r>
        <w:t xml:space="preserve"> (I100</w:t>
      </w:r>
      <w:r>
        <w:rPr>
          <w:b/>
        </w:rPr>
        <w:t>1</w:t>
      </w:r>
      <w:r>
        <w:t>01) est utilisée pour l’envoi de l’archive c</w:t>
      </w:r>
      <w:r>
        <w:rPr>
          <w:webHidden/>
        </w:rPr>
        <w:t>ontenant le fichier chapeau et les fichiers référentiels produits en mode complet, au Service d’Echange qui transfère les dossiers aux différents SI partenaires.</w:t>
      </w:r>
    </w:p>
    <w:p>
      <w:pPr>
        <w:pStyle w:val="ONPPoint1"/>
        <w:jc w:val="both"/>
      </w:pPr>
      <w:r>
        <w:t>La 2</w:t>
      </w:r>
      <w:r>
        <w:rPr>
          <w:vertAlign w:val="superscript"/>
        </w:rPr>
        <w:t>nde</w:t>
      </w:r>
      <w:r>
        <w:t xml:space="preserve"> (I100</w:t>
      </w:r>
      <w:r>
        <w:rPr>
          <w:b/>
        </w:rPr>
        <w:t>2</w:t>
      </w:r>
      <w:r>
        <w:t>01) est utilisée pour l’envoi de l’archive produite en mode différentiel.</w:t>
      </w:r>
    </w:p>
    <w:p>
      <w:pPr>
        <w:jc w:val="both"/>
        <w:rPr>
          <w:webHidden/>
        </w:rPr>
      </w:pPr>
    </w:p>
    <w:p>
      <w:pPr>
        <w:pStyle w:val="Titre30"/>
      </w:pPr>
      <w:r>
        <w:t>Protocole d’échange</w:t>
      </w:r>
    </w:p>
    <w:tbl>
      <w:tblPr>
        <w:tblStyle w:val="Grilledutableau"/>
        <w:tblW w:w="0" w:type="auto"/>
        <w:tblLook w:val="01E0" w:firstRow="1" w:lastRow="1" w:firstColumn="1" w:lastColumn="1" w:noHBand="0" w:noVBand="0"/>
      </w:tblPr>
      <w:tblGrid>
        <w:gridCol w:w="4533"/>
        <w:gridCol w:w="4529"/>
      </w:tblGrid>
      <w:tr>
        <w:tc>
          <w:tcPr>
            <w:tcW w:w="4606" w:type="dxa"/>
            <w:shd w:val="clear" w:color="auto" w:fill="333399"/>
          </w:tcPr>
          <w:p>
            <w:pPr>
              <w:pStyle w:val="ONPCorpsdetexte"/>
              <w:jc w:val="center"/>
              <w:rPr>
                <w:b/>
                <w:color w:val="FFFFFF"/>
              </w:rPr>
            </w:pPr>
            <w:r>
              <w:rPr>
                <w:b/>
                <w:color w:val="FFFFFF"/>
              </w:rPr>
              <w:t>Objet</w:t>
            </w:r>
          </w:p>
        </w:tc>
        <w:tc>
          <w:tcPr>
            <w:tcW w:w="4607" w:type="dxa"/>
            <w:shd w:val="clear" w:color="auto" w:fill="333399"/>
          </w:tcPr>
          <w:p>
            <w:pPr>
              <w:pStyle w:val="ONPCorpsdetexte"/>
              <w:jc w:val="center"/>
              <w:rPr>
                <w:b/>
                <w:color w:val="FFFFFF"/>
              </w:rPr>
            </w:pPr>
            <w:r>
              <w:rPr>
                <w:b/>
                <w:color w:val="FFFFFF"/>
              </w:rPr>
              <w:t>Valeur</w:t>
            </w:r>
          </w:p>
        </w:tc>
      </w:tr>
      <w:tr>
        <w:tc>
          <w:tcPr>
            <w:tcW w:w="4606" w:type="dxa"/>
          </w:tcPr>
          <w:p>
            <w:pPr>
              <w:pStyle w:val="ONPCorpsdetexte"/>
            </w:pPr>
            <w:r>
              <w:t>Protocole d’échange en entrée du SE</w:t>
            </w:r>
          </w:p>
        </w:tc>
        <w:tc>
          <w:tcPr>
            <w:tcW w:w="4607" w:type="dxa"/>
          </w:tcPr>
          <w:p>
            <w:pPr>
              <w:pStyle w:val="ONPCorpsdetexte"/>
            </w:pPr>
            <w:r>
              <w:t>SFTP</w:t>
            </w:r>
          </w:p>
        </w:tc>
      </w:tr>
      <w:tr>
        <w:tc>
          <w:tcPr>
            <w:tcW w:w="4606" w:type="dxa"/>
          </w:tcPr>
          <w:p>
            <w:pPr>
              <w:pStyle w:val="ONPCorpsdetexte"/>
            </w:pPr>
            <w:r>
              <w:t>Signature</w:t>
            </w:r>
          </w:p>
        </w:tc>
        <w:tc>
          <w:tcPr>
            <w:tcW w:w="4607" w:type="dxa"/>
          </w:tcPr>
          <w:p>
            <w:pPr>
              <w:pStyle w:val="ONPCorpsdetexte"/>
            </w:pPr>
            <w:r>
              <w:t>Non</w:t>
            </w:r>
          </w:p>
        </w:tc>
      </w:tr>
      <w:tr>
        <w:tc>
          <w:tcPr>
            <w:tcW w:w="4606" w:type="dxa"/>
          </w:tcPr>
          <w:p>
            <w:pPr>
              <w:pStyle w:val="ONPCorpsdetexte"/>
            </w:pPr>
            <w:r>
              <w:t>Chiffrage</w:t>
            </w:r>
          </w:p>
        </w:tc>
        <w:tc>
          <w:tcPr>
            <w:tcW w:w="4607" w:type="dxa"/>
          </w:tcPr>
          <w:p>
            <w:pPr>
              <w:pStyle w:val="ONPCorpsdetexte"/>
            </w:pPr>
            <w:r>
              <w:t>Oui</w:t>
            </w:r>
          </w:p>
        </w:tc>
      </w:tr>
    </w:tbl>
    <w:p/>
    <w:p>
      <w:pPr>
        <w:pStyle w:val="Titre30"/>
      </w:pPr>
      <w:r>
        <w:t>Nommage des fichiers à diffuser</w:t>
      </w:r>
    </w:p>
    <w:p>
      <w:r>
        <w:t xml:space="preserve">Les nommages des fichiers diffusés doivent respecter le format illustré ci-dessous : </w:t>
      </w:r>
    </w:p>
    <w:p>
      <w:r>
        <w:rPr>
          <w:noProof/>
          <w:lang w:eastAsia="fr-FR"/>
        </w:rPr>
        <w:lastRenderedPageBreak/>
        <w:drawing>
          <wp:inline distT="0" distB="0" distL="0" distR="0">
            <wp:extent cx="5629275" cy="1876425"/>
            <wp:effectExtent l="0" t="0" r="9525" b="9525"/>
            <wp:docPr id="30" name="Image 30" descr="cid:image001.jpg@01D0A464.1586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0A464.1586E0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629275" cy="1876425"/>
                    </a:xfrm>
                    <a:prstGeom prst="rect">
                      <a:avLst/>
                    </a:prstGeom>
                    <a:noFill/>
                    <a:ln>
                      <a:noFill/>
                    </a:ln>
                  </pic:spPr>
                </pic:pic>
              </a:graphicData>
            </a:graphic>
          </wp:inline>
        </w:drawing>
      </w:r>
    </w:p>
    <w:p/>
    <w:p>
      <w:r>
        <w:t>Exemple de nommage de fichier diffusé au MCAS :</w:t>
      </w:r>
    </w:p>
    <w:p/>
    <w:p>
      <w:pPr>
        <w:pStyle w:val="ONPPoint1"/>
        <w:keepLines w:val="0"/>
        <w:numPr>
          <w:ilvl w:val="0"/>
          <w:numId w:val="161"/>
        </w:numPr>
        <w:tabs>
          <w:tab w:val="clear" w:pos="284"/>
        </w:tabs>
        <w:suppressAutoHyphens w:val="0"/>
        <w:jc w:val="both"/>
      </w:pPr>
      <w:r>
        <w:t>Pour le fichier archive zippée sans extension :</w:t>
      </w:r>
      <w:r>
        <w:rPr>
          <w:b/>
          <w:bCs/>
          <w:i/>
          <w:iCs/>
        </w:rPr>
        <w:t xml:space="preserve"> </w:t>
      </w:r>
    </w:p>
    <w:p>
      <w:pPr>
        <w:pStyle w:val="ONPPoint1"/>
        <w:keepLines w:val="0"/>
        <w:numPr>
          <w:ilvl w:val="1"/>
          <w:numId w:val="162"/>
        </w:numPr>
        <w:tabs>
          <w:tab w:val="clear" w:pos="284"/>
        </w:tabs>
        <w:suppressAutoHyphens w:val="0"/>
        <w:jc w:val="both"/>
      </w:pPr>
      <w:r>
        <w:rPr>
          <w:b/>
          <w:bCs/>
          <w:color w:val="FF0000"/>
        </w:rPr>
        <w:t>DS100101</w:t>
      </w:r>
      <w:r>
        <w:rPr>
          <w:b/>
          <w:bCs/>
        </w:rPr>
        <w:t>_</w:t>
      </w:r>
      <w:r>
        <w:rPr>
          <w:b/>
          <w:bCs/>
          <w:color w:val="00FF00"/>
        </w:rPr>
        <w:t>OGRREF01</w:t>
      </w:r>
      <w:r>
        <w:rPr>
          <w:b/>
          <w:bCs/>
        </w:rPr>
        <w:t>_</w:t>
      </w:r>
      <w:r>
        <w:rPr>
          <w:b/>
          <w:bCs/>
          <w:color w:val="800000"/>
        </w:rPr>
        <w:t>0000001</w:t>
      </w:r>
      <w:r>
        <w:rPr>
          <w:b/>
          <w:bCs/>
        </w:rPr>
        <w:t>_</w:t>
      </w:r>
      <w:r>
        <w:rPr>
          <w:rFonts w:ascii="Cambria" w:hAnsi="Cambria"/>
          <w:b/>
          <w:bCs/>
          <w:color w:val="000080"/>
          <w:sz w:val="20"/>
          <w:u w:val="single"/>
        </w:rPr>
        <w:t xml:space="preserve"> </w:t>
      </w:r>
      <w:r>
        <w:rPr>
          <w:b/>
          <w:bCs/>
          <w:color w:val="33CCCC"/>
        </w:rPr>
        <w:t xml:space="preserve">SIR01101 </w:t>
      </w:r>
      <w:r>
        <w:t>pour le mode complet,</w:t>
      </w:r>
    </w:p>
    <w:p>
      <w:pPr>
        <w:pStyle w:val="ONPPoint1"/>
        <w:keepLines w:val="0"/>
        <w:numPr>
          <w:ilvl w:val="1"/>
          <w:numId w:val="162"/>
        </w:numPr>
        <w:tabs>
          <w:tab w:val="clear" w:pos="284"/>
        </w:tabs>
        <w:suppressAutoHyphens w:val="0"/>
        <w:jc w:val="both"/>
      </w:pPr>
      <w:r>
        <w:rPr>
          <w:b/>
          <w:bCs/>
          <w:color w:val="FF0000"/>
        </w:rPr>
        <w:t>DS100201</w:t>
      </w:r>
      <w:r>
        <w:rPr>
          <w:b/>
          <w:bCs/>
        </w:rPr>
        <w:t>_</w:t>
      </w:r>
      <w:r>
        <w:rPr>
          <w:b/>
          <w:bCs/>
          <w:color w:val="00FF00"/>
        </w:rPr>
        <w:t>OGRREF01</w:t>
      </w:r>
      <w:r>
        <w:rPr>
          <w:b/>
          <w:bCs/>
        </w:rPr>
        <w:t>_</w:t>
      </w:r>
      <w:r>
        <w:rPr>
          <w:b/>
          <w:bCs/>
          <w:color w:val="800000"/>
        </w:rPr>
        <w:t>0000001</w:t>
      </w:r>
      <w:r>
        <w:rPr>
          <w:b/>
          <w:bCs/>
        </w:rPr>
        <w:t>_</w:t>
      </w:r>
      <w:r>
        <w:rPr>
          <w:b/>
          <w:bCs/>
          <w:color w:val="33CCCC"/>
        </w:rPr>
        <w:t xml:space="preserve"> SIR01101 </w:t>
      </w:r>
      <w:r>
        <w:t>pour le mode incrémental.</w:t>
      </w:r>
    </w:p>
    <w:p>
      <w:pPr>
        <w:pStyle w:val="ONPPoint1"/>
        <w:keepLines w:val="0"/>
        <w:numPr>
          <w:ilvl w:val="0"/>
          <w:numId w:val="161"/>
        </w:numPr>
        <w:tabs>
          <w:tab w:val="clear" w:pos="284"/>
        </w:tabs>
        <w:suppressAutoHyphens w:val="0"/>
        <w:jc w:val="both"/>
      </w:pPr>
      <w:r>
        <w:t xml:space="preserve">Pour le fichier chapeau : </w:t>
      </w:r>
    </w:p>
    <w:p>
      <w:pPr>
        <w:pStyle w:val="ONPPoint1"/>
        <w:keepLines w:val="0"/>
        <w:numPr>
          <w:ilvl w:val="1"/>
          <w:numId w:val="162"/>
        </w:numPr>
        <w:tabs>
          <w:tab w:val="clear" w:pos="284"/>
        </w:tabs>
        <w:suppressAutoHyphens w:val="0"/>
        <w:jc w:val="both"/>
      </w:pPr>
      <w:r>
        <w:rPr>
          <w:b/>
          <w:bCs/>
          <w:color w:val="FF0000"/>
        </w:rPr>
        <w:t>DS100101</w:t>
      </w:r>
      <w:r>
        <w:rPr>
          <w:b/>
          <w:bCs/>
        </w:rPr>
        <w:t>_</w:t>
      </w:r>
      <w:r>
        <w:rPr>
          <w:b/>
          <w:bCs/>
          <w:color w:val="00FF00"/>
        </w:rPr>
        <w:t>OGRREF01</w:t>
      </w:r>
      <w:r>
        <w:rPr>
          <w:b/>
          <w:bCs/>
        </w:rPr>
        <w:t>_</w:t>
      </w:r>
      <w:r>
        <w:rPr>
          <w:b/>
          <w:bCs/>
          <w:color w:val="800000"/>
        </w:rPr>
        <w:t>0000001</w:t>
      </w:r>
      <w:r>
        <w:rPr>
          <w:b/>
          <w:bCs/>
        </w:rPr>
        <w:t>_</w:t>
      </w:r>
      <w:r>
        <w:rPr>
          <w:b/>
          <w:bCs/>
          <w:color w:val="33CCCC"/>
        </w:rPr>
        <w:t xml:space="preserve"> SIR01101 </w:t>
      </w:r>
      <w:r>
        <w:rPr>
          <w:b/>
          <w:bCs/>
        </w:rPr>
        <w:t>_</w:t>
      </w:r>
      <w:r>
        <w:rPr>
          <w:b/>
          <w:bCs/>
          <w:color w:val="FFCC00"/>
        </w:rPr>
        <w:t>chapeau</w:t>
      </w:r>
      <w:r>
        <w:rPr>
          <w:b/>
          <w:bCs/>
        </w:rPr>
        <w:t>.xml</w:t>
      </w:r>
      <w:r>
        <w:t xml:space="preserve"> pour le mode complet,</w:t>
      </w:r>
    </w:p>
    <w:p>
      <w:pPr>
        <w:pStyle w:val="ONPPoint1"/>
        <w:keepLines w:val="0"/>
        <w:numPr>
          <w:ilvl w:val="1"/>
          <w:numId w:val="162"/>
        </w:numPr>
        <w:tabs>
          <w:tab w:val="clear" w:pos="284"/>
        </w:tabs>
        <w:suppressAutoHyphens w:val="0"/>
        <w:jc w:val="both"/>
      </w:pPr>
      <w:r>
        <w:rPr>
          <w:b/>
          <w:bCs/>
          <w:color w:val="FF0000"/>
        </w:rPr>
        <w:t>DS100201</w:t>
      </w:r>
      <w:r>
        <w:rPr>
          <w:b/>
          <w:bCs/>
        </w:rPr>
        <w:t>_</w:t>
      </w:r>
      <w:r>
        <w:rPr>
          <w:b/>
          <w:bCs/>
          <w:color w:val="00FF00"/>
        </w:rPr>
        <w:t>OGRREF01</w:t>
      </w:r>
      <w:r>
        <w:rPr>
          <w:b/>
          <w:bCs/>
        </w:rPr>
        <w:t>_</w:t>
      </w:r>
      <w:r>
        <w:rPr>
          <w:b/>
          <w:bCs/>
          <w:color w:val="800000"/>
        </w:rPr>
        <w:t>0000001</w:t>
      </w:r>
      <w:r>
        <w:rPr>
          <w:b/>
          <w:bCs/>
        </w:rPr>
        <w:t>_</w:t>
      </w:r>
      <w:r>
        <w:rPr>
          <w:b/>
          <w:bCs/>
          <w:color w:val="33CCCC"/>
        </w:rPr>
        <w:t xml:space="preserve"> SIR01101 </w:t>
      </w:r>
      <w:r>
        <w:rPr>
          <w:b/>
          <w:bCs/>
        </w:rPr>
        <w:t>_</w:t>
      </w:r>
      <w:r>
        <w:rPr>
          <w:b/>
          <w:bCs/>
          <w:color w:val="FFCC00"/>
        </w:rPr>
        <w:t>chapeau</w:t>
      </w:r>
      <w:r>
        <w:rPr>
          <w:b/>
          <w:bCs/>
        </w:rPr>
        <w:t>.xml</w:t>
      </w:r>
      <w:r>
        <w:t xml:space="preserve"> pour le mode incrémental.</w:t>
      </w:r>
    </w:p>
    <w:p>
      <w:pPr>
        <w:pStyle w:val="ONPPoint1"/>
        <w:keepLines w:val="0"/>
        <w:numPr>
          <w:ilvl w:val="0"/>
          <w:numId w:val="161"/>
        </w:numPr>
        <w:tabs>
          <w:tab w:val="clear" w:pos="284"/>
        </w:tabs>
        <w:suppressAutoHyphens w:val="0"/>
        <w:jc w:val="both"/>
      </w:pPr>
      <w:r>
        <w:t>Pour les fichiers référentiels :</w:t>
      </w:r>
    </w:p>
    <w:p>
      <w:pPr>
        <w:pStyle w:val="ONPPoint1"/>
        <w:keepLines w:val="0"/>
        <w:numPr>
          <w:ilvl w:val="1"/>
          <w:numId w:val="162"/>
        </w:numPr>
        <w:tabs>
          <w:tab w:val="clear" w:pos="284"/>
        </w:tabs>
        <w:suppressAutoHyphens w:val="0"/>
        <w:jc w:val="both"/>
      </w:pPr>
      <w:r>
        <w:rPr>
          <w:b/>
          <w:bCs/>
          <w:color w:val="FF0000"/>
        </w:rPr>
        <w:t>INGRES</w:t>
      </w:r>
      <w:r>
        <w:rPr>
          <w:b/>
          <w:bCs/>
        </w:rPr>
        <w:t>_C_</w:t>
      </w:r>
      <w:r>
        <w:rPr>
          <w:b/>
          <w:bCs/>
          <w:color w:val="00FF00"/>
        </w:rPr>
        <w:t>V17.00.00</w:t>
      </w:r>
      <w:r>
        <w:rPr>
          <w:b/>
          <w:bCs/>
        </w:rPr>
        <w:t>_F</w:t>
      </w:r>
      <w:r>
        <w:rPr>
          <w:b/>
          <w:bCs/>
          <w:color w:val="800000"/>
        </w:rPr>
        <w:t>17.00.00</w:t>
      </w:r>
      <w:r>
        <w:rPr>
          <w:b/>
          <w:bCs/>
        </w:rPr>
        <w:t>_</w:t>
      </w:r>
      <w:r>
        <w:rPr>
          <w:b/>
          <w:bCs/>
          <w:color w:val="33CCCC"/>
        </w:rPr>
        <w:t>P00_AGG_MOT_CESS_NIV1</w:t>
      </w:r>
      <w:r>
        <w:rPr>
          <w:b/>
          <w:bCs/>
        </w:rPr>
        <w:t>_</w:t>
      </w:r>
      <w:r>
        <w:rPr>
          <w:b/>
          <w:bCs/>
          <w:color w:val="FFCC00"/>
        </w:rPr>
        <w:t>0008</w:t>
      </w:r>
      <w:r>
        <w:rPr>
          <w:b/>
          <w:bCs/>
        </w:rPr>
        <w:t xml:space="preserve">.xml </w:t>
      </w:r>
      <w:r>
        <w:t>pour le mode complet,</w:t>
      </w:r>
    </w:p>
    <w:p>
      <w:pPr>
        <w:pStyle w:val="ONPPoint1"/>
        <w:keepLines w:val="0"/>
        <w:numPr>
          <w:ilvl w:val="1"/>
          <w:numId w:val="162"/>
        </w:numPr>
        <w:tabs>
          <w:tab w:val="clear" w:pos="284"/>
        </w:tabs>
        <w:suppressAutoHyphens w:val="0"/>
        <w:jc w:val="both"/>
      </w:pPr>
      <w:r>
        <w:rPr>
          <w:b/>
          <w:bCs/>
          <w:color w:val="FF0000"/>
        </w:rPr>
        <w:t>INGRES</w:t>
      </w:r>
      <w:r>
        <w:rPr>
          <w:b/>
          <w:bCs/>
        </w:rPr>
        <w:t>_D_</w:t>
      </w:r>
      <w:r>
        <w:rPr>
          <w:b/>
          <w:bCs/>
          <w:color w:val="00FF00"/>
        </w:rPr>
        <w:t>V17.00.00</w:t>
      </w:r>
      <w:r>
        <w:rPr>
          <w:b/>
          <w:bCs/>
        </w:rPr>
        <w:t>_F</w:t>
      </w:r>
      <w:r>
        <w:rPr>
          <w:b/>
          <w:bCs/>
          <w:color w:val="800000"/>
        </w:rPr>
        <w:t>17.00.00</w:t>
      </w:r>
      <w:r>
        <w:rPr>
          <w:b/>
          <w:bCs/>
        </w:rPr>
        <w:t>_</w:t>
      </w:r>
      <w:r>
        <w:rPr>
          <w:b/>
          <w:bCs/>
          <w:color w:val="33CCCC"/>
        </w:rPr>
        <w:t>P00_AGG_MOT_CESS_NIV1</w:t>
      </w:r>
      <w:r>
        <w:rPr>
          <w:b/>
          <w:bCs/>
        </w:rPr>
        <w:t>_</w:t>
      </w:r>
      <w:r>
        <w:rPr>
          <w:b/>
          <w:bCs/>
          <w:color w:val="FFCC00"/>
        </w:rPr>
        <w:t>0008</w:t>
      </w:r>
      <w:r>
        <w:rPr>
          <w:b/>
          <w:bCs/>
        </w:rPr>
        <w:t xml:space="preserve">.xml </w:t>
      </w:r>
      <w:r>
        <w:t>pour le mode incrémental.</w:t>
      </w:r>
    </w:p>
    <w:p>
      <w:pPr>
        <w:pStyle w:val="ONPCorpsdetexte"/>
        <w:jc w:val="both"/>
      </w:pPr>
      <w:r>
        <w:t>L’application INGRES envoie au service d’échange CISIRH une archive zip contenant les fichiers référentiels ainsi que le fichier chapeau.</w:t>
      </w:r>
    </w:p>
    <w:p>
      <w:pPr>
        <w:pStyle w:val="ONPCorpsdetexte"/>
        <w:jc w:val="both"/>
      </w:pPr>
      <w:r>
        <w:t>Le tableau ci-dessous détaille les conventions de nommage des fichiers envoyés par INGRES en entrée du SE :</w:t>
      </w:r>
    </w:p>
    <w:tbl>
      <w:tblPr>
        <w:tblW w:w="9515" w:type="dxa"/>
        <w:tblInd w:w="-5" w:type="dxa"/>
        <w:tblLayout w:type="fixed"/>
        <w:tblCellMar>
          <w:left w:w="0" w:type="dxa"/>
          <w:right w:w="0" w:type="dxa"/>
        </w:tblCellMar>
        <w:tblLook w:val="04A0" w:firstRow="1" w:lastRow="0" w:firstColumn="1" w:lastColumn="0" w:noHBand="0" w:noVBand="1"/>
      </w:tblPr>
      <w:tblGrid>
        <w:gridCol w:w="2046"/>
        <w:gridCol w:w="1272"/>
        <w:gridCol w:w="1383"/>
        <w:gridCol w:w="1279"/>
        <w:gridCol w:w="2648"/>
        <w:gridCol w:w="857"/>
        <w:gridCol w:w="30"/>
      </w:tblGrid>
      <w:tr>
        <w:trPr>
          <w:gridAfter w:val="1"/>
          <w:wAfter w:w="20" w:type="dxa"/>
          <w:tblHeader/>
        </w:trPr>
        <w:tc>
          <w:tcPr>
            <w:tcW w:w="2049" w:type="dxa"/>
            <w:tcBorders>
              <w:top w:val="single" w:sz="8" w:space="0" w:color="000000"/>
              <w:left w:val="single" w:sz="8" w:space="0" w:color="000000"/>
              <w:bottom w:val="single" w:sz="8" w:space="0" w:color="000000"/>
              <w:right w:val="nil"/>
            </w:tcBorders>
            <w:shd w:val="clear" w:color="auto" w:fill="333399"/>
            <w:tcMar>
              <w:top w:w="0" w:type="dxa"/>
              <w:left w:w="108" w:type="dxa"/>
              <w:bottom w:w="0" w:type="dxa"/>
              <w:right w:w="108" w:type="dxa"/>
            </w:tcMar>
            <w:vAlign w:val="center"/>
            <w:hideMark/>
          </w:tcPr>
          <w:p>
            <w:pPr>
              <w:pStyle w:val="ONPCorpsdetexte"/>
              <w:snapToGrid w:val="0"/>
              <w:jc w:val="center"/>
              <w:rPr>
                <w:b/>
                <w:bCs/>
                <w:color w:val="FFFFFF"/>
                <w:sz w:val="20"/>
              </w:rPr>
            </w:pPr>
            <w:r>
              <w:rPr>
                <w:b/>
                <w:bCs/>
                <w:color w:val="FFFFFF"/>
                <w:sz w:val="20"/>
              </w:rPr>
              <w:t>Champ</w:t>
            </w:r>
          </w:p>
        </w:tc>
        <w:tc>
          <w:tcPr>
            <w:tcW w:w="1273" w:type="dxa"/>
            <w:tcBorders>
              <w:top w:val="single" w:sz="8" w:space="0" w:color="000000"/>
              <w:left w:val="single" w:sz="8" w:space="0" w:color="000000"/>
              <w:bottom w:val="single" w:sz="8" w:space="0" w:color="000000"/>
              <w:right w:val="nil"/>
            </w:tcBorders>
            <w:shd w:val="clear" w:color="auto" w:fill="333399"/>
            <w:tcMar>
              <w:top w:w="0" w:type="dxa"/>
              <w:left w:w="108" w:type="dxa"/>
              <w:bottom w:w="0" w:type="dxa"/>
              <w:right w:w="108" w:type="dxa"/>
            </w:tcMar>
            <w:hideMark/>
          </w:tcPr>
          <w:p>
            <w:pPr>
              <w:pStyle w:val="ONPCorpsdetexte"/>
              <w:snapToGrid w:val="0"/>
              <w:jc w:val="center"/>
              <w:rPr>
                <w:b/>
                <w:bCs/>
                <w:color w:val="FFFFFF"/>
                <w:sz w:val="20"/>
              </w:rPr>
            </w:pPr>
            <w:r>
              <w:rPr>
                <w:b/>
                <w:bCs/>
                <w:color w:val="FFFFFF"/>
                <w:sz w:val="20"/>
              </w:rPr>
              <w:t>Patron</w:t>
            </w:r>
          </w:p>
        </w:tc>
        <w:tc>
          <w:tcPr>
            <w:tcW w:w="1384" w:type="dxa"/>
            <w:tcBorders>
              <w:top w:val="single" w:sz="8" w:space="0" w:color="000000"/>
              <w:left w:val="single" w:sz="8" w:space="0" w:color="000000"/>
              <w:bottom w:val="single" w:sz="8" w:space="0" w:color="000000"/>
              <w:right w:val="nil"/>
            </w:tcBorders>
            <w:shd w:val="clear" w:color="auto" w:fill="333399"/>
            <w:tcMar>
              <w:top w:w="0" w:type="dxa"/>
              <w:left w:w="108" w:type="dxa"/>
              <w:bottom w:w="0" w:type="dxa"/>
              <w:right w:w="108" w:type="dxa"/>
            </w:tcMar>
            <w:vAlign w:val="center"/>
            <w:hideMark/>
          </w:tcPr>
          <w:p>
            <w:pPr>
              <w:pStyle w:val="ONPCorpsdetexte"/>
              <w:snapToGrid w:val="0"/>
              <w:jc w:val="center"/>
              <w:rPr>
                <w:b/>
                <w:bCs/>
                <w:color w:val="FFFFFF"/>
                <w:sz w:val="20"/>
              </w:rPr>
            </w:pPr>
            <w:r>
              <w:rPr>
                <w:b/>
                <w:bCs/>
                <w:color w:val="FFFFFF"/>
                <w:sz w:val="20"/>
              </w:rPr>
              <w:t>Valeur</w:t>
            </w:r>
          </w:p>
        </w:tc>
        <w:tc>
          <w:tcPr>
            <w:tcW w:w="1280" w:type="dxa"/>
            <w:tcBorders>
              <w:top w:val="single" w:sz="8" w:space="0" w:color="000000"/>
              <w:left w:val="single" w:sz="8" w:space="0" w:color="000000"/>
              <w:bottom w:val="single" w:sz="8" w:space="0" w:color="000000"/>
              <w:right w:val="nil"/>
            </w:tcBorders>
            <w:shd w:val="clear" w:color="auto" w:fill="333399"/>
            <w:tcMar>
              <w:top w:w="0" w:type="dxa"/>
              <w:left w:w="108" w:type="dxa"/>
              <w:bottom w:w="0" w:type="dxa"/>
              <w:right w:w="108" w:type="dxa"/>
            </w:tcMar>
            <w:hideMark/>
          </w:tcPr>
          <w:p>
            <w:pPr>
              <w:pStyle w:val="ONPCorpsdetexte"/>
              <w:snapToGrid w:val="0"/>
              <w:jc w:val="center"/>
              <w:rPr>
                <w:b/>
                <w:bCs/>
                <w:color w:val="FFFFFF"/>
                <w:sz w:val="20"/>
              </w:rPr>
            </w:pPr>
            <w:r>
              <w:rPr>
                <w:b/>
                <w:bCs/>
                <w:color w:val="FFFFFF"/>
                <w:sz w:val="20"/>
              </w:rPr>
              <w:t>Statique (S) / Variable (V)</w:t>
            </w:r>
          </w:p>
        </w:tc>
        <w:tc>
          <w:tcPr>
            <w:tcW w:w="3509" w:type="dxa"/>
            <w:gridSpan w:val="2"/>
            <w:tcBorders>
              <w:top w:val="single" w:sz="8" w:space="0" w:color="000000"/>
              <w:left w:val="single" w:sz="8" w:space="0" w:color="000000"/>
              <w:bottom w:val="single" w:sz="8" w:space="0" w:color="000000"/>
              <w:right w:val="single" w:sz="8" w:space="0" w:color="000000"/>
            </w:tcBorders>
            <w:shd w:val="clear" w:color="auto" w:fill="333399"/>
            <w:tcMar>
              <w:top w:w="0" w:type="dxa"/>
              <w:left w:w="108" w:type="dxa"/>
              <w:bottom w:w="0" w:type="dxa"/>
              <w:right w:w="108" w:type="dxa"/>
            </w:tcMar>
            <w:vAlign w:val="center"/>
            <w:hideMark/>
          </w:tcPr>
          <w:p>
            <w:pPr>
              <w:pStyle w:val="ONPCorpsdetexte"/>
              <w:snapToGrid w:val="0"/>
              <w:jc w:val="center"/>
            </w:pPr>
            <w:r>
              <w:rPr>
                <w:b/>
                <w:bCs/>
                <w:color w:val="FFFFFF"/>
                <w:sz w:val="20"/>
              </w:rPr>
              <w:t>Remarque</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b/>
                <w:bCs/>
                <w:color w:val="000000"/>
                <w:sz w:val="20"/>
              </w:rPr>
              <w:t xml:space="preserve">Type de flux </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FF0000"/>
                <w:sz w:val="20"/>
              </w:rPr>
              <w:t>T</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sz w:val="20"/>
              </w:rPr>
              <w:t>D</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A -&gt; Z</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rPr>
                <w:rFonts w:eastAsiaTheme="minorHAnsi"/>
                <w:sz w:val="20"/>
              </w:rPr>
            </w:pPr>
            <w:r>
              <w:rPr>
                <w:sz w:val="20"/>
              </w:rPr>
              <w:t>Flux de données</w:t>
            </w:r>
          </w:p>
          <w:p>
            <w:pPr>
              <w:pStyle w:val="ONPCorpsdetexte"/>
              <w:snapToGrid w:val="0"/>
              <w:rPr>
                <w:sz w:val="20"/>
              </w:rPr>
            </w:pPr>
            <w:r>
              <w:rPr>
                <w:sz w:val="20"/>
              </w:rPr>
              <w:t>D : pour un flux de Données</w:t>
            </w:r>
          </w:p>
          <w:p>
            <w:pPr>
              <w:pStyle w:val="ONPCorpsdetexte"/>
              <w:snapToGrid w:val="0"/>
            </w:pPr>
            <w:r>
              <w:rPr>
                <w:sz w:val="20"/>
              </w:rPr>
              <w:t>T : pour un flux de Test</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b/>
                <w:bCs/>
                <w:color w:val="000000"/>
                <w:sz w:val="20"/>
              </w:rPr>
              <w:lastRenderedPageBreak/>
              <w:t>Sens Interface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FF0000"/>
                <w:sz w:val="20"/>
              </w:rPr>
              <w:t>S</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sz w:val="20"/>
              </w:rPr>
              <w:t>S</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A -&gt; Z</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Interface interne vis-à-vis du CISIRH</w:t>
            </w:r>
          </w:p>
        </w:tc>
      </w:tr>
      <w:t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b/>
                <w:bCs/>
                <w:color w:val="000000"/>
                <w:sz w:val="20"/>
              </w:rPr>
              <w:t>Code Interface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color w:val="000000"/>
                <w:sz w:val="20"/>
                <w:lang w:eastAsia="fr-FR"/>
              </w:rPr>
            </w:pPr>
            <w:r>
              <w:rPr>
                <w:color w:val="FF0000"/>
                <w:sz w:val="20"/>
              </w:rPr>
              <w:t>IIII</w:t>
            </w:r>
          </w:p>
        </w:tc>
        <w:tc>
          <w:tcPr>
            <w:tcW w:w="1384"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color w:val="000000"/>
                <w:sz w:val="20"/>
                <w:lang w:eastAsia="fr-FR"/>
              </w:rPr>
              <w:t xml:space="preserve">1001 </w:t>
            </w:r>
            <w:r>
              <w:rPr>
                <w:sz w:val="20"/>
              </w:rPr>
              <w:t> pour Complète ou 1002 pour différentielle</w:t>
            </w:r>
          </w:p>
        </w:tc>
        <w:tc>
          <w:tcPr>
            <w:tcW w:w="478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Code interface attribué aux échanges avec INGRES</w:t>
            </w:r>
          </w:p>
        </w:tc>
        <w:tc>
          <w:tcPr>
            <w:tcW w:w="20" w:type="dxa"/>
            <w:tcBorders>
              <w:top w:val="nil"/>
              <w:left w:val="nil"/>
              <w:bottom w:val="single" w:sz="8" w:space="0" w:color="000000"/>
              <w:right w:val="nil"/>
            </w:tcBorders>
            <w:vAlign w:val="center"/>
            <w:hideMark/>
          </w:tcPr>
          <w:p>
            <w:pPr>
              <w:rPr>
                <w:rFonts w:eastAsiaTheme="minorHAnsi"/>
                <w:szCs w:val="24"/>
              </w:rPr>
            </w:pPr>
            <w:r>
              <w:t> </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b/>
                <w:bCs/>
                <w:color w:val="000000"/>
                <w:sz w:val="20"/>
              </w:rPr>
              <w:t>Version Interface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FF0000"/>
                <w:sz w:val="20"/>
              </w:rPr>
              <w:t>VV</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sz w:val="20"/>
              </w:rPr>
              <w:t>01</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V selon la version d’interface, 01, 02,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Première version de l’interface</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color w:val="000000"/>
                <w:sz w:val="20"/>
              </w:rPr>
              <w:t>Séparateur de Champ</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tcPr>
          <w:p>
            <w:pPr>
              <w:pStyle w:val="ONPCorpsdetexte"/>
              <w:snapToGrid w:val="0"/>
              <w:rPr>
                <w:color w:val="FF0000"/>
                <w:sz w:val="20"/>
              </w:rPr>
            </w:pP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sz w:val="20"/>
              </w:rPr>
              <w:t>_</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S à « _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Under score</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00FF00"/>
                <w:sz w:val="20"/>
              </w:rPr>
            </w:pPr>
            <w:r>
              <w:rPr>
                <w:b/>
                <w:bCs/>
                <w:color w:val="000000"/>
                <w:sz w:val="20"/>
              </w:rPr>
              <w:t>Code Application Emettrice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color w:val="000000"/>
                <w:sz w:val="20"/>
                <w:lang w:eastAsia="fr-FR"/>
              </w:rPr>
            </w:pPr>
            <w:r>
              <w:rPr>
                <w:color w:val="00FF00"/>
                <w:sz w:val="20"/>
              </w:rPr>
              <w:t>PPPAAAXX</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000000"/>
                <w:sz w:val="20"/>
                <w:lang w:eastAsia="fr-FR"/>
              </w:rPr>
              <w:t>OGRREF01</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rFonts w:eastAsiaTheme="minorHAnsi"/>
                <w:sz w:val="20"/>
              </w:rPr>
            </w:pPr>
            <w:r>
              <w:rPr>
                <w:sz w:val="20"/>
              </w:rPr>
              <w:t>OGRREF</w:t>
            </w:r>
          </w:p>
          <w:p>
            <w:pPr>
              <w:pStyle w:val="ONPCorpsdetexte"/>
              <w:rPr>
                <w:sz w:val="20"/>
              </w:rPr>
            </w:pPr>
            <w:r>
              <w:rPr>
                <w:sz w:val="20"/>
              </w:rPr>
              <w:t>V selon l’instance de l’application, 01, 02,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ONPCorpsdetexte"/>
              <w:snapToGrid w:val="0"/>
              <w:rPr>
                <w:rFonts w:eastAsiaTheme="minorHAnsi"/>
                <w:sz w:val="20"/>
              </w:rPr>
            </w:pPr>
            <w:r>
              <w:rPr>
                <w:sz w:val="20"/>
              </w:rPr>
              <w:t>- OGR : partenaire logique</w:t>
            </w:r>
            <w:r>
              <w:rPr>
                <w:sz w:val="20"/>
              </w:rPr>
              <w:br/>
              <w:t>- REF : application physique</w:t>
            </w:r>
            <w:r>
              <w:rPr>
                <w:sz w:val="20"/>
              </w:rPr>
              <w:br/>
              <w:t>- 01 : instance de l’application</w:t>
            </w:r>
          </w:p>
          <w:p>
            <w:pPr>
              <w:pStyle w:val="ONPCorpsdetexte"/>
              <w:rPr>
                <w:sz w:val="20"/>
              </w:rPr>
            </w:pP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00FF00"/>
                <w:sz w:val="20"/>
              </w:rPr>
            </w:pPr>
            <w:r>
              <w:rPr>
                <w:color w:val="000000"/>
                <w:sz w:val="20"/>
              </w:rPr>
              <w:t>Séparateur de Champ</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tcPr>
          <w:p>
            <w:pPr>
              <w:pStyle w:val="ONPCorpsdetexte"/>
              <w:snapToGrid w:val="0"/>
              <w:rPr>
                <w:color w:val="00FF00"/>
                <w:sz w:val="20"/>
              </w:rPr>
            </w:pP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000000"/>
                <w:sz w:val="20"/>
                <w:lang w:eastAsia="fr-FR"/>
              </w:rPr>
              <w:t>_</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S à « _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Under score</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800000"/>
                <w:sz w:val="20"/>
              </w:rPr>
            </w:pPr>
            <w:r>
              <w:rPr>
                <w:b/>
                <w:bCs/>
                <w:color w:val="000000"/>
                <w:sz w:val="20"/>
              </w:rPr>
              <w:t>Code Identifiant Flux</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color w:val="000000"/>
                <w:sz w:val="20"/>
                <w:lang w:eastAsia="fr-FR"/>
              </w:rPr>
            </w:pPr>
            <w:r>
              <w:rPr>
                <w:color w:val="800000"/>
                <w:sz w:val="20"/>
              </w:rPr>
              <w:t>EEEEEEE</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000000"/>
                <w:sz w:val="20"/>
                <w:lang w:eastAsia="fr-FR"/>
              </w:rPr>
              <w:t>0000001</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V selon l’identifiant du flux</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La valeur de ce champ est valorisée par défaut à 0000001</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color w:val="000000"/>
                <w:sz w:val="20"/>
              </w:rPr>
              <w:t>Séparateur de Champ</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tcPr>
          <w:p>
            <w:pPr>
              <w:pStyle w:val="ONPCorpsdetexte"/>
              <w:snapToGrid w:val="0"/>
              <w:rPr>
                <w:color w:val="FF0000"/>
                <w:sz w:val="20"/>
              </w:rPr>
            </w:pP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000000"/>
                <w:sz w:val="20"/>
                <w:lang w:eastAsia="fr-FR"/>
              </w:rPr>
              <w:t>_</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S à « _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Under score</w:t>
            </w:r>
          </w:p>
        </w:tc>
      </w:tr>
      <w:tr>
        <w:trPr>
          <w:gridAfter w:val="1"/>
          <w:wAfter w:w="20" w:type="dxa"/>
          <w:trHeight w:val="1083"/>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339966"/>
                <w:sz w:val="20"/>
              </w:rPr>
            </w:pPr>
            <w:r>
              <w:rPr>
                <w:b/>
                <w:bCs/>
                <w:color w:val="000000"/>
                <w:sz w:val="20"/>
              </w:rPr>
              <w:t>Code Application Destinataire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color w:val="000000"/>
                <w:sz w:val="20"/>
                <w:lang w:eastAsia="fr-FR"/>
              </w:rPr>
            </w:pPr>
            <w:r>
              <w:rPr>
                <w:color w:val="339966"/>
                <w:sz w:val="20"/>
              </w:rPr>
              <w:t>PPPAAAXX</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rFonts w:eastAsiaTheme="minorHAnsi"/>
                <w:color w:val="000000"/>
                <w:sz w:val="20"/>
                <w:lang w:eastAsia="fr-FR"/>
              </w:rPr>
            </w:pPr>
            <w:r>
              <w:rPr>
                <w:color w:val="000000"/>
                <w:sz w:val="20"/>
                <w:lang w:eastAsia="fr-FR"/>
              </w:rPr>
              <w:t>.</w:t>
            </w:r>
          </w:p>
          <w:p>
            <w:pPr>
              <w:pStyle w:val="ONPCorpsdetexte"/>
              <w:snapToGrid w:val="0"/>
              <w:rPr>
                <w:color w:val="000000"/>
                <w:sz w:val="20"/>
                <w:lang w:eastAsia="fr-FR"/>
              </w:rPr>
            </w:pPr>
            <w:r>
              <w:rPr>
                <w:color w:val="000000"/>
                <w:sz w:val="20"/>
                <w:lang w:eastAsia="fr-FR"/>
              </w:rPr>
              <w:t>SIRxxx01</w:t>
            </w:r>
          </w:p>
          <w:p>
            <w:pPr>
              <w:pStyle w:val="ONPCorpsdetexte"/>
              <w:snapToGrid w:val="0"/>
              <w:rPr>
                <w:sz w:val="20"/>
              </w:rPr>
            </w:pPr>
            <w:r>
              <w:rPr>
                <w:color w:val="000000"/>
                <w:sz w:val="20"/>
                <w:lang w:eastAsia="fr-FR"/>
              </w:rPr>
              <w:t>Ou SIDxxx01</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 xml:space="preserve">Variable selon le type et le code du destinataire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rPr>
                <w:rFonts w:eastAsiaTheme="minorHAnsi"/>
                <w:sz w:val="20"/>
              </w:rPr>
            </w:pPr>
            <w:r>
              <w:rPr>
                <w:sz w:val="20"/>
              </w:rPr>
              <w:t> - PPP : partenaire logique (SIR pour les SIRH ministériels, SIM pour INDIA-REMU)</w:t>
            </w:r>
            <w:r>
              <w:rPr>
                <w:sz w:val="20"/>
              </w:rPr>
              <w:br/>
              <w:t>- AAA : Identifiant propre à chaque SI client (011 pour le MCAS).</w:t>
            </w:r>
            <w:r>
              <w:rPr>
                <w:sz w:val="20"/>
              </w:rPr>
              <w:br/>
              <w:t>- XX : instance de l’application</w:t>
            </w:r>
          </w:p>
          <w:p>
            <w:pPr>
              <w:pStyle w:val="ONPCorpsdetexte"/>
            </w:pPr>
            <w:r>
              <w:rPr>
                <w:sz w:val="20"/>
              </w:rPr>
              <w:t>La liste des valeurs pour ce champ est définie dans le cadre normatif du SE</w:t>
            </w:r>
          </w:p>
        </w:tc>
      </w:tr>
      <w:tr>
        <w:trPr>
          <w:gridAfter w:val="1"/>
          <w:wAfter w:w="20" w:type="dxa"/>
        </w:trPr>
        <w:tc>
          <w:tcPr>
            <w:tcW w:w="2049" w:type="dxa"/>
            <w:vAlign w:val="center"/>
            <w:hideMark/>
          </w:tcPr>
          <w:p>
            <w:pPr>
              <w:rPr>
                <w:sz w:val="20"/>
              </w:rPr>
            </w:pPr>
          </w:p>
        </w:tc>
        <w:tc>
          <w:tcPr>
            <w:tcW w:w="1273" w:type="dxa"/>
            <w:vAlign w:val="center"/>
            <w:hideMark/>
          </w:tcPr>
          <w:p>
            <w:pPr>
              <w:rPr>
                <w:sz w:val="20"/>
              </w:rPr>
            </w:pPr>
          </w:p>
        </w:tc>
        <w:tc>
          <w:tcPr>
            <w:tcW w:w="1384" w:type="dxa"/>
            <w:vAlign w:val="center"/>
            <w:hideMark/>
          </w:tcPr>
          <w:p>
            <w:pPr>
              <w:rPr>
                <w:sz w:val="20"/>
              </w:rPr>
            </w:pPr>
          </w:p>
        </w:tc>
        <w:tc>
          <w:tcPr>
            <w:tcW w:w="1280" w:type="dxa"/>
            <w:vAlign w:val="center"/>
            <w:hideMark/>
          </w:tcPr>
          <w:p>
            <w:pPr>
              <w:rPr>
                <w:sz w:val="20"/>
              </w:rPr>
            </w:pPr>
          </w:p>
        </w:tc>
        <w:tc>
          <w:tcPr>
            <w:tcW w:w="2651" w:type="dxa"/>
            <w:vAlign w:val="center"/>
            <w:hideMark/>
          </w:tcPr>
          <w:p>
            <w:pPr>
              <w:rPr>
                <w:sz w:val="20"/>
              </w:rPr>
            </w:pPr>
          </w:p>
        </w:tc>
        <w:tc>
          <w:tcPr>
            <w:tcW w:w="858" w:type="dxa"/>
            <w:vAlign w:val="center"/>
            <w:hideMark/>
          </w:tcPr>
          <w:p>
            <w:pPr>
              <w:rPr>
                <w:sz w:val="20"/>
              </w:rPr>
            </w:pPr>
          </w:p>
        </w:tc>
      </w:tr>
    </w:tbl>
    <w:p>
      <w:pPr>
        <w:rPr>
          <w:rFonts w:ascii="Calibri" w:eastAsiaTheme="minorHAnsi" w:hAnsi="Calibri" w:cs="Calibri"/>
          <w:color w:val="1F497D"/>
          <w:sz w:val="22"/>
          <w:szCs w:val="22"/>
        </w:rPr>
      </w:pPr>
    </w:p>
    <w:p>
      <w:pPr>
        <w:pStyle w:val="Titre30"/>
      </w:pPr>
      <w:r>
        <w:t>Description du fichier</w:t>
      </w:r>
    </w:p>
    <w:p>
      <w:pPr>
        <w:pStyle w:val="ONPCorpsdetexte"/>
      </w:pPr>
      <w:r>
        <w:t>La description du fichier Référentiel reprend les informations de la fiche interface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6038"/>
      </w:tblGrid>
      <w:tr>
        <w:trPr>
          <w:tblHeader/>
        </w:trPr>
        <w:tc>
          <w:tcPr>
            <w:tcW w:w="3034" w:type="dxa"/>
            <w:shd w:val="clear" w:color="auto" w:fill="333399"/>
          </w:tcPr>
          <w:p>
            <w:pPr>
              <w:jc w:val="center"/>
              <w:rPr>
                <w:b/>
                <w:color w:val="FFFFFF"/>
                <w:sz w:val="20"/>
              </w:rPr>
            </w:pPr>
            <w:r>
              <w:rPr>
                <w:b/>
                <w:bCs/>
                <w:color w:val="FFFFFF"/>
                <w:sz w:val="20"/>
              </w:rPr>
              <w:lastRenderedPageBreak/>
              <w:t>Information</w:t>
            </w:r>
          </w:p>
        </w:tc>
        <w:tc>
          <w:tcPr>
            <w:tcW w:w="6038" w:type="dxa"/>
            <w:shd w:val="clear" w:color="auto" w:fill="333399"/>
          </w:tcPr>
          <w:p>
            <w:pPr>
              <w:jc w:val="center"/>
              <w:rPr>
                <w:b/>
                <w:color w:val="FFFFFF"/>
                <w:sz w:val="20"/>
              </w:rPr>
            </w:pPr>
            <w:r>
              <w:rPr>
                <w:b/>
                <w:bCs/>
                <w:color w:val="FFFFFF"/>
                <w:sz w:val="20"/>
              </w:rPr>
              <w:t>Données</w:t>
            </w:r>
          </w:p>
        </w:tc>
      </w:tr>
      <w:tr>
        <w:tc>
          <w:tcPr>
            <w:tcW w:w="3034" w:type="dxa"/>
            <w:vAlign w:val="center"/>
          </w:tcPr>
          <w:p>
            <w:pPr>
              <w:spacing w:before="0" w:after="0" w:line="240" w:lineRule="auto"/>
              <w:rPr>
                <w:sz w:val="20"/>
                <w:lang w:eastAsia="fr-FR"/>
              </w:rPr>
            </w:pPr>
            <w:r>
              <w:rPr>
                <w:sz w:val="20"/>
                <w:lang w:eastAsia="fr-FR"/>
              </w:rPr>
              <w:t>Format du fichier</w:t>
            </w:r>
          </w:p>
        </w:tc>
        <w:tc>
          <w:tcPr>
            <w:tcW w:w="6038" w:type="dxa"/>
            <w:vAlign w:val="center"/>
          </w:tcPr>
          <w:p>
            <w:pPr>
              <w:pStyle w:val="ONPCorpsdetexte"/>
              <w:rPr>
                <w:sz w:val="20"/>
              </w:rPr>
            </w:pPr>
            <w:r>
              <w:rPr>
                <w:sz w:val="20"/>
              </w:rPr>
              <w:t>XML</w:t>
            </w:r>
          </w:p>
        </w:tc>
      </w:tr>
      <w:tr>
        <w:tc>
          <w:tcPr>
            <w:tcW w:w="3034" w:type="dxa"/>
            <w:vAlign w:val="center"/>
          </w:tcPr>
          <w:p>
            <w:pPr>
              <w:spacing w:before="0" w:after="0" w:line="240" w:lineRule="auto"/>
              <w:rPr>
                <w:sz w:val="20"/>
                <w:lang w:eastAsia="fr-FR"/>
              </w:rPr>
            </w:pPr>
            <w:r>
              <w:rPr>
                <w:sz w:val="20"/>
                <w:lang w:eastAsia="fr-FR"/>
              </w:rPr>
              <w:t>Encodage du fichier</w:t>
            </w:r>
          </w:p>
        </w:tc>
        <w:tc>
          <w:tcPr>
            <w:tcW w:w="6038" w:type="dxa"/>
            <w:vAlign w:val="center"/>
          </w:tcPr>
          <w:p>
            <w:pPr>
              <w:pStyle w:val="ONPCorpsdetexte"/>
              <w:rPr>
                <w:sz w:val="20"/>
              </w:rPr>
            </w:pPr>
            <w:r>
              <w:rPr>
                <w:sz w:val="20"/>
              </w:rPr>
              <w:t>UTF-8</w:t>
            </w:r>
          </w:p>
        </w:tc>
      </w:tr>
      <w:tr>
        <w:trPr>
          <w:trHeight w:val="419"/>
        </w:trPr>
        <w:tc>
          <w:tcPr>
            <w:tcW w:w="3034" w:type="dxa"/>
            <w:vAlign w:val="center"/>
          </w:tcPr>
          <w:p>
            <w:pPr>
              <w:spacing w:before="0" w:after="0" w:line="240" w:lineRule="auto"/>
              <w:rPr>
                <w:sz w:val="20"/>
                <w:lang w:eastAsia="fr-FR"/>
              </w:rPr>
            </w:pPr>
            <w:r>
              <w:rPr>
                <w:sz w:val="20"/>
                <w:lang w:eastAsia="fr-FR"/>
              </w:rPr>
              <w:t>Taille des enregistrements</w:t>
            </w:r>
          </w:p>
        </w:tc>
        <w:tc>
          <w:tcPr>
            <w:tcW w:w="6038" w:type="dxa"/>
            <w:vAlign w:val="center"/>
          </w:tcPr>
          <w:p>
            <w:pPr>
              <w:pStyle w:val="ONPCorpsdetexte"/>
              <w:rPr>
                <w:sz w:val="20"/>
              </w:rPr>
            </w:pPr>
            <w:r>
              <w:rPr>
                <w:sz w:val="20"/>
              </w:rPr>
              <w:t>Variable selon le référentiel contenu dans le fichier</w:t>
            </w:r>
          </w:p>
        </w:tc>
      </w:tr>
      <w:tr>
        <w:trPr>
          <w:trHeight w:val="411"/>
        </w:trPr>
        <w:tc>
          <w:tcPr>
            <w:tcW w:w="3034" w:type="dxa"/>
            <w:vAlign w:val="center"/>
          </w:tcPr>
          <w:p>
            <w:pPr>
              <w:spacing w:before="0" w:after="0" w:line="240" w:lineRule="auto"/>
              <w:rPr>
                <w:sz w:val="20"/>
                <w:lang w:eastAsia="fr-FR"/>
              </w:rPr>
            </w:pPr>
            <w:r>
              <w:rPr>
                <w:sz w:val="20"/>
                <w:lang w:eastAsia="fr-FR"/>
              </w:rPr>
              <w:t>Séparateur d’enregistrements</w:t>
            </w:r>
          </w:p>
        </w:tc>
        <w:tc>
          <w:tcPr>
            <w:tcW w:w="6038" w:type="dxa"/>
            <w:vAlign w:val="center"/>
          </w:tcPr>
          <w:p>
            <w:pPr>
              <w:spacing w:before="0" w:after="0" w:line="240" w:lineRule="auto"/>
              <w:rPr>
                <w:sz w:val="20"/>
                <w:lang w:eastAsia="fr-FR"/>
              </w:rPr>
            </w:pPr>
            <w:r>
              <w:rPr>
                <w:sz w:val="20"/>
                <w:lang w:eastAsia="fr-FR"/>
              </w:rPr>
              <w:t>N/A</w:t>
            </w:r>
          </w:p>
        </w:tc>
      </w:tr>
      <w:tr>
        <w:trPr>
          <w:trHeight w:val="536"/>
        </w:trPr>
        <w:tc>
          <w:tcPr>
            <w:tcW w:w="3034" w:type="dxa"/>
            <w:vAlign w:val="center"/>
          </w:tcPr>
          <w:p>
            <w:pPr>
              <w:spacing w:before="0" w:after="0" w:line="240" w:lineRule="auto"/>
              <w:rPr>
                <w:sz w:val="20"/>
                <w:lang w:eastAsia="fr-FR"/>
              </w:rPr>
            </w:pPr>
            <w:r>
              <w:rPr>
                <w:sz w:val="20"/>
                <w:lang w:eastAsia="fr-FR"/>
              </w:rPr>
              <w:t>Taille maximale préconisée du fichier</w:t>
            </w:r>
          </w:p>
        </w:tc>
        <w:tc>
          <w:tcPr>
            <w:tcW w:w="6038" w:type="dxa"/>
            <w:vAlign w:val="center"/>
          </w:tcPr>
          <w:p>
            <w:pPr>
              <w:spacing w:before="0" w:after="0" w:line="240" w:lineRule="auto"/>
              <w:rPr>
                <w:sz w:val="20"/>
                <w:lang w:eastAsia="fr-FR"/>
              </w:rPr>
            </w:pPr>
            <w:r>
              <w:rPr>
                <w:sz w:val="20"/>
              </w:rPr>
              <w:t>1 Go</w:t>
            </w:r>
          </w:p>
        </w:tc>
      </w:tr>
      <w:bookmarkEnd w:id="202"/>
      <w:bookmarkEnd w:id="203"/>
      <w:bookmarkEnd w:id="204"/>
      <w:bookmarkEnd w:id="205"/>
      <w:bookmarkEnd w:id="206"/>
      <w:bookmarkEnd w:id="207"/>
      <w:bookmarkEnd w:id="208"/>
    </w:tbl>
    <w:p>
      <w:pPr>
        <w:pStyle w:val="ONPCorpsdetexte"/>
      </w:pPr>
    </w:p>
    <w:p>
      <w:pPr>
        <w:pStyle w:val="Titre30"/>
      </w:pPr>
      <w:bookmarkStart w:id="231" w:name="__RefHeading__1729_1378251362"/>
      <w:bookmarkEnd w:id="231"/>
      <w:r>
        <w:t>Règles de routage</w:t>
      </w:r>
    </w:p>
    <w:p>
      <w:pPr>
        <w:jc w:val="both"/>
      </w:pPr>
      <w:r>
        <w:t xml:space="preserve">Il est important de noter que certains éléments du nom du fichier doivent permettre au SE de router le flux vers le partenaire interne ou externe correspondant, </w:t>
      </w:r>
    </w:p>
    <w:p>
      <w:pPr>
        <w:jc w:val="both"/>
      </w:pPr>
      <w:r>
        <w:t>Pour cela, il est nécessaire de définir préalablement et avant tout échange les éléments à déclarer au sein du SE :</w:t>
      </w:r>
    </w:p>
    <w:p>
      <w:pPr>
        <w:jc w:val="both"/>
      </w:pPr>
      <w:r>
        <w:t xml:space="preserve">Position 1 à 8 : </w:t>
      </w:r>
      <w:r>
        <w:tab/>
      </w:r>
      <w:r>
        <w:tab/>
      </w:r>
      <w:r>
        <w:rPr>
          <w:rFonts w:ascii="Verdana" w:hAnsi="Verdana"/>
          <w:i/>
          <w:color w:val="0000FF"/>
        </w:rPr>
        <w:t>TSFIIIVV</w:t>
      </w:r>
      <w:r>
        <w:t xml:space="preserve"> </w:t>
      </w:r>
      <w:r>
        <w:tab/>
        <w:t>=&gt; qui permettra d'identifier le flux à router dans le SE</w:t>
      </w:r>
    </w:p>
    <w:p>
      <w:pPr>
        <w:jc w:val="both"/>
      </w:pPr>
      <w:r>
        <w:t>Position 10 à 17 :</w:t>
      </w:r>
      <w:r>
        <w:tab/>
        <w:t xml:space="preserve"> </w:t>
      </w:r>
      <w:r>
        <w:rPr>
          <w:rFonts w:ascii="Verdana" w:hAnsi="Verdana"/>
          <w:i/>
          <w:color w:val="0000FF"/>
        </w:rPr>
        <w:t>PPPAAAXX</w:t>
      </w:r>
      <w:r>
        <w:t xml:space="preserve"> </w:t>
      </w:r>
      <w:r>
        <w:tab/>
        <w:t>=&gt; qui permettra d'identifier le partenaire émetteur</w:t>
      </w:r>
    </w:p>
    <w:p>
      <w:pPr>
        <w:jc w:val="both"/>
      </w:pPr>
      <w:r>
        <w:t>Position 27 à 34 :</w:t>
      </w:r>
      <w:r>
        <w:tab/>
        <w:t xml:space="preserve"> </w:t>
      </w:r>
      <w:r>
        <w:rPr>
          <w:rFonts w:ascii="Verdana" w:hAnsi="Verdana"/>
          <w:i/>
          <w:color w:val="0000FF"/>
        </w:rPr>
        <w:t>PPPAAAXX</w:t>
      </w:r>
      <w:r>
        <w:tab/>
        <w:t>=&gt; qui permettra d'identifier le partenaire récepteur</w:t>
      </w:r>
    </w:p>
    <w:p>
      <w:pPr>
        <w:jc w:val="both"/>
      </w:pPr>
    </w:p>
    <w:p>
      <w:pPr>
        <w:jc w:val="both"/>
      </w:pPr>
      <w:r>
        <w:t>Les autres paramètres peuvent être positionnés à leurs valeurs par défaut sans impact sur le routage.</w:t>
      </w:r>
    </w:p>
    <w:p>
      <w:pPr>
        <w:pStyle w:val="ONPCorpsdetexte"/>
        <w:rPr>
          <w:b/>
          <w:bCs/>
        </w:rPr>
      </w:pPr>
    </w:p>
    <w:p>
      <w:pPr>
        <w:pStyle w:val="Titre1"/>
      </w:pPr>
      <w:bookmarkStart w:id="232" w:name="_Toc20761138"/>
      <w:r>
        <w:lastRenderedPageBreak/>
        <w:t xml:space="preserve">Annexe - </w:t>
      </w:r>
      <w:bookmarkStart w:id="233" w:name="_Exemples_de_format"/>
      <w:bookmarkStart w:id="234" w:name="_Exemples_de_fichiers"/>
      <w:bookmarkEnd w:id="233"/>
      <w:bookmarkEnd w:id="234"/>
      <w:r>
        <w:t>Exemples de fichiers</w:t>
      </w:r>
      <w:bookmarkEnd w:id="232"/>
      <w:r>
        <w:t xml:space="preserve"> </w:t>
      </w:r>
    </w:p>
    <w:p>
      <w:pPr>
        <w:pStyle w:val="Titre2"/>
      </w:pPr>
      <w:bookmarkStart w:id="235" w:name="_Toc420486260"/>
      <w:bookmarkStart w:id="236" w:name="_Toc20761139"/>
      <w:r>
        <w:t>Fichier « Chapeau »</w:t>
      </w:r>
      <w:bookmarkEnd w:id="235"/>
      <w:bookmarkEnd w:id="236"/>
    </w:p>
    <w:p>
      <w:pPr>
        <w:pStyle w:val="ONPCorpsdetexte"/>
        <w:ind w:left="1"/>
        <w:jc w:val="both"/>
      </w:pPr>
      <w:r>
        <w:t>L’exemple ci-dessous illustre la valorisation des données d’un fichier OGR « Chapeau » diffusé au MTES  (SI cible identifié par le code SIR011).</w:t>
      </w:r>
    </w:p>
    <w:p>
      <w:pPr>
        <w:pStyle w:val="ONPCorpsdetexte"/>
        <w:ind w:left="1"/>
        <w:jc w:val="both"/>
      </w:pPr>
      <w:r>
        <w:t>Ce fichier appartient à une archive diffusant le contenu de la version 00.05.10 du Noyau RH FPE dans un format correspondant au format de la version 00.05.10 du Dictionnaire de données.</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6"/>
        <w:gridCol w:w="8816"/>
      </w:tblGrid>
      <w:tr>
        <w:tc>
          <w:tcPr>
            <w:tcW w:w="250" w:type="dxa"/>
          </w:tcPr>
          <w:p>
            <w:pPr>
              <w:pStyle w:val="ONPCorpsdetexte"/>
              <w:pBdr>
                <w:top w:val="single" w:sz="4" w:space="1" w:color="auto"/>
              </w:pBdr>
              <w:spacing w:before="0" w:after="0" w:line="240" w:lineRule="atLeast"/>
              <w:rPr>
                <w:rFonts w:ascii="Arial" w:hAnsi="Arial"/>
                <w:b/>
                <w:color w:val="3333FF"/>
                <w:sz w:val="18"/>
                <w:szCs w:val="18"/>
                <w:lang w:eastAsia="fr-FR"/>
              </w:rPr>
            </w:pPr>
          </w:p>
        </w:tc>
        <w:tc>
          <w:tcPr>
            <w:tcW w:w="9181" w:type="dxa"/>
          </w:tcPr>
          <w:p>
            <w:pPr>
              <w:pStyle w:val="ONPCorpsdetexte"/>
              <w:pBdr>
                <w:top w:val="single" w:sz="4" w:space="1" w:color="auto"/>
              </w:pBdr>
              <w:spacing w:before="0" w:after="0" w:line="24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&lt;?xml version="1.0" encoding="ISO 8859-15"?&gt;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&lt;RACINE&gt;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&lt;VERSION_DIFFUSION&gt;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eastAsia="fr-FR"/>
              </w:rPr>
              <w:t>&lt;/VERSION_DIFFUSION&gt;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vMerge w:val="restart"/>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t>&lt;VERSION_FORMAT_XML &gt;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eastAsia="fr-FR"/>
              </w:rPr>
              <w:t>&lt;/VERSION_FORMAT_XML &gt;</w:t>
            </w:r>
          </w:p>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&lt;/ID_DIFFUSION&gt;</w:t>
            </w:r>
          </w:p>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&lt;/ID_TRANSFERT&gt;</w:t>
            </w:r>
          </w:p>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&lt;LISTE_CIBLE&gt;</w:t>
            </w:r>
          </w:p>
          <w:p>
            <w:pPr>
              <w:pStyle w:val="ONPCorpsdetexte"/>
              <w:spacing w:before="0" w:after="0" w:line="240" w:lineRule="atLeast"/>
              <w:ind w:left="459" w:firstLine="425"/>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&lt;CIBLE&gt;</w:t>
            </w:r>
            <w:r>
              <w:rPr>
                <w:rFonts w:asciiTheme="minorHAnsi" w:hAnsiTheme="minorHAnsi" w:cstheme="minorHAnsi"/>
                <w:b/>
                <w:color w:val="FF0000"/>
                <w:sz w:val="18"/>
                <w:szCs w:val="18"/>
                <w:lang w:eastAsia="fr-FR"/>
              </w:rPr>
              <w:t>SIR011</w:t>
            </w:r>
            <w:r>
              <w:rPr>
                <w:rFonts w:asciiTheme="minorHAnsi" w:hAnsiTheme="minorHAnsi" w:cstheme="minorHAnsi"/>
                <w:b/>
                <w:color w:val="3333FF"/>
                <w:sz w:val="18"/>
                <w:szCs w:val="18"/>
                <w:lang w:eastAsia="fr-FR"/>
              </w:rPr>
              <w:t xml:space="preserve">&lt;/CIBLE&gt; </w:t>
            </w:r>
          </w:p>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&lt;/LISTE_CIBLE&gt;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vMerge/>
          </w:tcPr>
          <w:p>
            <w:pPr>
              <w:pStyle w:val="ONPCorpsdetexte"/>
              <w:spacing w:before="0" w:after="0" w:line="240" w:lineRule="atLeast"/>
              <w:ind w:left="459"/>
              <w:rPr>
                <w:rFonts w:asciiTheme="minorHAnsi" w:hAnsiTheme="minorHAnsi" w:cstheme="minorHAnsi"/>
                <w:b/>
                <w:color w:val="3333FF"/>
                <w:sz w:val="18"/>
                <w:szCs w:val="18"/>
                <w:lang w:eastAsia="fr-FR"/>
              </w:rPr>
            </w:pPr>
          </w:p>
        </w:tc>
      </w:tr>
      <w:tr>
        <w:trPr>
          <w:trHeight w:val="490"/>
        </w:trPr>
        <w:tc>
          <w:tcPr>
            <w:tcW w:w="250" w:type="dxa"/>
          </w:tcPr>
          <w:p>
            <w:pPr>
              <w:pStyle w:val="ONPCorpsdetexte"/>
              <w:spacing w:before="0" w:after="0" w:line="240" w:lineRule="atLeast"/>
              <w:rPr>
                <w:rFonts w:ascii="Arial" w:hAnsi="Arial"/>
                <w:b/>
                <w:color w:val="3333FF"/>
                <w:sz w:val="18"/>
                <w:szCs w:val="18"/>
                <w:lang w:eastAsia="fr-FR"/>
              </w:rPr>
            </w:pPr>
          </w:p>
        </w:tc>
        <w:tc>
          <w:tcPr>
            <w:tcW w:w="9181" w:type="dxa"/>
            <w:vMerge/>
          </w:tcPr>
          <w:p>
            <w:pPr>
              <w:pStyle w:val="ONPCorpsdetexte"/>
              <w:spacing w:before="0" w:after="0" w:line="240" w:lineRule="atLeast"/>
              <w:ind w:left="459"/>
              <w:rPr>
                <w:rFonts w:asciiTheme="minorHAnsi" w:hAnsiTheme="minorHAnsi" w:cstheme="minorHAnsi"/>
                <w:b/>
                <w:color w:val="3333FF"/>
                <w:sz w:val="18"/>
                <w:szCs w:val="18"/>
                <w:lang w:eastAsia="fr-FR"/>
              </w:rPr>
            </w:pP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vMerge/>
          </w:tcPr>
          <w:p>
            <w:pPr>
              <w:pStyle w:val="ONPCorpsdetexte"/>
              <w:spacing w:before="0" w:after="0" w:line="240" w:lineRule="atLeast"/>
              <w:ind w:left="459"/>
              <w:rPr>
                <w:rFonts w:asciiTheme="minorHAnsi" w:hAnsiTheme="minorHAnsi" w:cstheme="minorHAnsi"/>
                <w:b/>
                <w:color w:val="3333FF"/>
                <w:sz w:val="18"/>
                <w:szCs w:val="18"/>
                <w:lang w:eastAsia="fr-FR"/>
              </w:rPr>
            </w:pP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 xml:space="preserve"> &lt;DATE_DIFFUSION&gt;</w:t>
            </w:r>
            <w:r>
              <w:rPr>
                <w:rFonts w:asciiTheme="minorHAnsi" w:hAnsiTheme="minorHAnsi" w:cstheme="minorHAnsi"/>
                <w:b/>
                <w:color w:val="FF0000"/>
                <w:sz w:val="18"/>
                <w:szCs w:val="18"/>
                <w:lang w:eastAsia="fr-FR"/>
              </w:rPr>
              <w:t>2015-01-26</w:t>
            </w:r>
            <w:r>
              <w:rPr>
                <w:rFonts w:asciiTheme="minorHAnsi" w:hAnsiTheme="minorHAnsi" w:cstheme="minorHAnsi"/>
                <w:b/>
                <w:color w:val="3333FF"/>
                <w:sz w:val="18"/>
                <w:szCs w:val="18"/>
                <w:lang w:eastAsia="fr-FR"/>
              </w:rPr>
              <w:t>&lt;/DATE_DIFFUSION&gt;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 xml:space="preserve">&lt;LISTE_FICHIER&gt; </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884"/>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&lt;FICHIER&gt;</w:t>
            </w:r>
            <w:r>
              <w:rPr>
                <w:b/>
                <w:bCs/>
                <w:color w:val="FF0000"/>
              </w:rPr>
              <w:t xml:space="preserve"> </w:t>
            </w:r>
            <w:r>
              <w:rPr>
                <w:rFonts w:asciiTheme="minorHAnsi" w:hAnsiTheme="minorHAnsi" w:cstheme="minorHAnsi"/>
                <w:b/>
                <w:color w:val="FF0000"/>
                <w:sz w:val="18"/>
                <w:szCs w:val="18"/>
                <w:lang w:eastAsia="fr-FR"/>
              </w:rPr>
              <w:t>INGRES_C_V17.00.00_F17.00.00_P00_AGG_MOT_CESS_NIV1_0008.xml</w:t>
            </w:r>
            <w:r>
              <w:rPr>
                <w:b/>
                <w:bCs/>
                <w:sz w:val="16"/>
              </w:rPr>
              <w:t xml:space="preserve"> </w:t>
            </w:r>
            <w:r>
              <w:rPr>
                <w:rFonts w:asciiTheme="minorHAnsi" w:hAnsiTheme="minorHAnsi" w:cstheme="minorHAnsi"/>
                <w:b/>
                <w:color w:val="3333FF"/>
                <w:sz w:val="18"/>
                <w:szCs w:val="18"/>
                <w:lang w:eastAsia="fr-FR"/>
              </w:rPr>
              <w:t>&lt;/FICHIER&gt;</w:t>
            </w:r>
          </w:p>
          <w:p>
            <w:pPr>
              <w:pStyle w:val="ONPCorpsdetexte"/>
              <w:spacing w:before="0" w:after="0" w:line="240" w:lineRule="atLeast"/>
              <w:ind w:left="884"/>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 xml:space="preserve"> &lt;FICHIER&gt;</w:t>
            </w:r>
            <w:r>
              <w:t xml:space="preserve"> </w:t>
            </w:r>
            <w:r>
              <w:rPr>
                <w:rFonts w:asciiTheme="minorHAnsi" w:hAnsiTheme="minorHAnsi" w:cstheme="minorHAnsi"/>
                <w:b/>
                <w:color w:val="FF0000"/>
                <w:sz w:val="18"/>
                <w:szCs w:val="18"/>
                <w:lang w:eastAsia="fr-FR"/>
              </w:rPr>
              <w:t xml:space="preserve">INGRES_D_V17.00.00_F17.00.00_P00_BG_AGG_PSG_NIV1_00302.xml </w:t>
            </w:r>
            <w:r>
              <w:rPr>
                <w:rFonts w:asciiTheme="minorHAnsi" w:hAnsiTheme="minorHAnsi" w:cstheme="minorHAnsi"/>
                <w:b/>
                <w:color w:val="3333FF"/>
                <w:sz w:val="18"/>
                <w:szCs w:val="18"/>
                <w:lang w:eastAsia="fr-FR"/>
              </w:rPr>
              <w:t xml:space="preserve">&lt;/FICHIER&gt; </w:t>
            </w:r>
          </w:p>
          <w:p>
            <w:pPr>
              <w:pStyle w:val="ONPCorpsdetexte"/>
              <w:spacing w:before="0" w:after="0" w:line="240" w:lineRule="atLeast"/>
              <w:ind w:left="884"/>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w:t>
            </w:r>
          </w:p>
          <w:p>
            <w:pPr>
              <w:pStyle w:val="ONPCorpsdetexte"/>
              <w:spacing w:before="0" w:after="0" w:line="240" w:lineRule="atLeast"/>
              <w:ind w:left="884"/>
              <w:rPr>
                <w:rFonts w:asciiTheme="minorHAnsi" w:hAnsiTheme="minorHAnsi" w:cstheme="minorHAnsi"/>
                <w:b/>
                <w:color w:val="3333FF"/>
                <w:sz w:val="18"/>
                <w:szCs w:val="18"/>
                <w:lang w:eastAsia="fr-FR"/>
              </w:rPr>
            </w:pPr>
          </w:p>
          <w:p>
            <w:pPr>
              <w:pStyle w:val="ONPCorpsdetexte"/>
              <w:spacing w:before="0" w:after="0" w:line="240" w:lineRule="atLeast"/>
              <w:ind w:left="884"/>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&lt;FICHIER&gt;</w:t>
            </w:r>
            <w:r>
              <w:t xml:space="preserve"> </w:t>
            </w:r>
            <w:r>
              <w:rPr>
                <w:rFonts w:asciiTheme="minorHAnsi" w:hAnsiTheme="minorHAnsi" w:cstheme="minorHAnsi"/>
                <w:b/>
                <w:color w:val="FF0000"/>
                <w:sz w:val="18"/>
                <w:szCs w:val="18"/>
                <w:lang w:eastAsia="fr-FR"/>
              </w:rPr>
              <w:t xml:space="preserve">INGRES_D_V17.00.00_F17.00.00_P00_BG_CODE_ENF_00252.xml </w:t>
            </w:r>
            <w:r>
              <w:rPr>
                <w:rFonts w:asciiTheme="minorHAnsi" w:hAnsiTheme="minorHAnsi" w:cstheme="minorHAnsi"/>
                <w:b/>
                <w:color w:val="3333FF"/>
                <w:sz w:val="18"/>
                <w:szCs w:val="18"/>
                <w:lang w:eastAsia="fr-FR"/>
              </w:rPr>
              <w:t>&lt;/FICHIER&gt;</w:t>
            </w:r>
          </w:p>
        </w:tc>
      </w:tr>
      <w:tr>
        <w:trPr>
          <w:trHeight w:val="95"/>
        </w:trP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&lt;/LISTE_FICHIER&gt;</w:t>
            </w:r>
          </w:p>
        </w:tc>
      </w:tr>
      <w:tr>
        <w:tc>
          <w:tcPr>
            <w:tcW w:w="250" w:type="dxa"/>
          </w:tcPr>
          <w:p>
            <w:pPr>
              <w:pStyle w:val="ONPCorpsdetexte"/>
              <w:pBdr>
                <w:bottom w:val="single" w:sz="4" w:space="1" w:color="auto"/>
              </w:pBdr>
              <w:spacing w:before="0" w:after="0" w:line="240" w:lineRule="atLeast"/>
              <w:rPr>
                <w:rFonts w:ascii="Arial" w:hAnsi="Arial"/>
                <w:b/>
                <w:color w:val="3333FF"/>
                <w:sz w:val="18"/>
                <w:szCs w:val="18"/>
                <w:lang w:eastAsia="fr-FR"/>
              </w:rPr>
            </w:pPr>
          </w:p>
        </w:tc>
        <w:tc>
          <w:tcPr>
            <w:tcW w:w="9181" w:type="dxa"/>
          </w:tcPr>
          <w:p>
            <w:pPr>
              <w:pStyle w:val="ONPCorpsdetexte"/>
              <w:pBdr>
                <w:bottom w:val="single" w:sz="4" w:space="1" w:color="auto"/>
              </w:pBdr>
              <w:spacing w:before="0" w:after="0" w:line="24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&lt;/RACINE&gt;</w:t>
            </w:r>
          </w:p>
        </w:tc>
      </w:tr>
    </w:tbl>
    <w:p>
      <w:pPr>
        <w:pStyle w:val="ONPCorpsdetexte"/>
        <w:ind w:left="1"/>
      </w:pPr>
    </w:p>
    <w:p>
      <w:pPr>
        <w:pStyle w:val="Titre2"/>
      </w:pPr>
      <w:bookmarkStart w:id="237" w:name="_Toc420486261"/>
      <w:bookmarkStart w:id="238" w:name="_Toc20761140"/>
      <w:r>
        <w:t>Fichiers « Référentiel » en mode différentiel</w:t>
      </w:r>
      <w:bookmarkEnd w:id="237"/>
      <w:bookmarkEnd w:id="238"/>
    </w:p>
    <w:p>
      <w:pPr>
        <w:pStyle w:val="ONPCorpsdetexte"/>
        <w:ind w:left="1"/>
        <w:jc w:val="both"/>
      </w:pPr>
      <w:r>
        <w:t xml:space="preserve">L’exemple ci-dessous illustre la valorisation (en mode différentiel) des données de fichiers INGRES « Référentiel » contenant les référentiels suivants :  </w:t>
      </w:r>
    </w:p>
    <w:p>
      <w:pPr>
        <w:pStyle w:val="ONPCorpsdetexte"/>
        <w:numPr>
          <w:ilvl w:val="0"/>
          <w:numId w:val="20"/>
        </w:numPr>
        <w:tabs>
          <w:tab w:val="clear" w:pos="0"/>
          <w:tab w:val="num" w:pos="1"/>
        </w:tabs>
        <w:ind w:left="721"/>
        <w:jc w:val="both"/>
      </w:pPr>
      <w:r>
        <w:t>STATUT_TYPPOP : Statuts (Types de population),</w:t>
      </w:r>
    </w:p>
    <w:p>
      <w:pPr>
        <w:pStyle w:val="ONPCorpsdetexte"/>
        <w:numPr>
          <w:ilvl w:val="0"/>
          <w:numId w:val="20"/>
        </w:numPr>
        <w:tabs>
          <w:tab w:val="clear" w:pos="0"/>
          <w:tab w:val="num" w:pos="1"/>
        </w:tabs>
        <w:ind w:left="721"/>
        <w:jc w:val="both"/>
      </w:pPr>
      <w:r>
        <w:t>TYPO_POP : Typologie de population.</w:t>
      </w:r>
    </w:p>
    <w:p>
      <w:pPr>
        <w:pStyle w:val="ONPCorpsdetexte"/>
        <w:ind w:left="1"/>
        <w:jc w:val="both"/>
      </w:pPr>
      <w:r>
        <w:t>Dans cet exemple, plusieurs types d’actions ont été réalisés :</w:t>
      </w:r>
    </w:p>
    <w:p>
      <w:pPr>
        <w:pStyle w:val="ONPCorpsdetexte"/>
        <w:numPr>
          <w:ilvl w:val="0"/>
          <w:numId w:val="20"/>
        </w:numPr>
        <w:tabs>
          <w:tab w:val="clear" w:pos="0"/>
          <w:tab w:val="num" w:pos="1"/>
        </w:tabs>
        <w:ind w:left="721"/>
        <w:jc w:val="both"/>
      </w:pPr>
      <w:r>
        <w:t>Création d’un code de nomenclature de statut « Interne universitaire » (INTER) au 01/01/2012 rattaché à un nouveau code de nomenclature de typologie de population « Etudiant » (E) créée en date du 02/06/2011.</w:t>
      </w:r>
    </w:p>
    <w:p>
      <w:pPr>
        <w:pStyle w:val="ONPCorpsdetexte"/>
        <w:numPr>
          <w:ilvl w:val="0"/>
          <w:numId w:val="20"/>
        </w:numPr>
        <w:tabs>
          <w:tab w:val="clear" w:pos="0"/>
          <w:tab w:val="num" w:pos="1"/>
        </w:tabs>
        <w:ind w:left="721"/>
        <w:jc w:val="both"/>
      </w:pPr>
      <w:r>
        <w:t>Modification du libellé long d’un code de nomenclature « Ouvrier d’état » (O) du référentiel  TYPO_POP.</w:t>
      </w:r>
    </w:p>
    <w:p>
      <w:pPr>
        <w:pStyle w:val="ONPCorpsdetexte"/>
        <w:numPr>
          <w:ilvl w:val="0"/>
          <w:numId w:val="20"/>
        </w:numPr>
        <w:tabs>
          <w:tab w:val="clear" w:pos="0"/>
          <w:tab w:val="num" w:pos="1"/>
        </w:tabs>
        <w:ind w:left="721"/>
        <w:jc w:val="both"/>
        <w:rPr>
          <w:b/>
          <w:bCs/>
        </w:rPr>
      </w:pPr>
      <w:r>
        <w:t>Clôture du code C0002 « Contractuel cabinet » appartenant à la nomenclature STATUT_TYPPOP au 30/06/2010.</w:t>
      </w:r>
    </w:p>
    <w:p>
      <w:pPr>
        <w:pStyle w:val="ONPCorpsdetexte"/>
        <w:ind w:left="1"/>
        <w:jc w:val="both"/>
        <w:rPr>
          <w:b/>
          <w:bCs/>
        </w:rPr>
      </w:pPr>
      <w:r>
        <w:rPr>
          <w:b/>
          <w:bCs/>
        </w:rPr>
        <w:lastRenderedPageBreak/>
        <w:t xml:space="preserve">N.B. : </w:t>
      </w:r>
    </w:p>
    <w:p>
      <w:pPr>
        <w:pStyle w:val="ONPCorpsdetexte"/>
        <w:numPr>
          <w:ilvl w:val="0"/>
          <w:numId w:val="195"/>
        </w:numPr>
        <w:tabs>
          <w:tab w:val="clear" w:pos="720"/>
          <w:tab w:val="num" w:pos="721"/>
        </w:tabs>
        <w:ind w:left="721"/>
        <w:jc w:val="both"/>
      </w:pPr>
      <w:r>
        <w:rPr>
          <w:b/>
          <w:bCs/>
        </w:rPr>
        <w:t>ces exemples sont répartis dans deux fichiers INGRES « Référentiels » décrits ci-dessous :</w:t>
      </w:r>
    </w:p>
    <w:p>
      <w:pPr>
        <w:pStyle w:val="ONPCorpsdetexte"/>
        <w:numPr>
          <w:ilvl w:val="0"/>
          <w:numId w:val="201"/>
        </w:numPr>
        <w:jc w:val="both"/>
      </w:pPr>
      <w:r>
        <w:t>Fichier « Référentiel » des statuts</w:t>
      </w:r>
    </w:p>
    <w:p>
      <w:pPr>
        <w:pStyle w:val="ONPCorpsdetexte"/>
        <w:numPr>
          <w:ilvl w:val="0"/>
          <w:numId w:val="201"/>
        </w:numPr>
        <w:jc w:val="both"/>
        <w:rPr>
          <w:b/>
          <w:bCs/>
          <w:u w:val="single"/>
        </w:rPr>
      </w:pPr>
      <w:r>
        <w:t>Fichier « Référentiel » des typologies de population</w:t>
      </w:r>
    </w:p>
    <w:p>
      <w:pPr>
        <w:pStyle w:val="ONPCorpsdetexte"/>
        <w:numPr>
          <w:ilvl w:val="0"/>
          <w:numId w:val="20"/>
        </w:numPr>
        <w:ind w:left="721"/>
        <w:jc w:val="both"/>
        <w:rPr>
          <w:bCs/>
        </w:rPr>
      </w:pPr>
      <w:r>
        <w:rPr>
          <w:bCs/>
        </w:rPr>
        <w:t xml:space="preserve">La diffusion illustrée ici correspond à un contenu correspondant à la version 00.05.10 du Noyau </w:t>
      </w:r>
      <w:r>
        <w:t xml:space="preserve">RH FPE </w:t>
      </w:r>
      <w:r>
        <w:rPr>
          <w:bCs/>
        </w:rPr>
        <w:t>diffusée</w:t>
      </w:r>
      <w:r>
        <w:t xml:space="preserve"> dans un format correspondant au format de la version 00.04.00 du Dictionnaire de données.</w:t>
      </w:r>
    </w:p>
    <w:p>
      <w:pPr>
        <w:pStyle w:val="ONPCorpsdetexte"/>
        <w:rPr>
          <w:bCs/>
        </w:rPr>
      </w:pPr>
    </w:p>
    <w:p>
      <w:pPr>
        <w:pStyle w:val="ONPCorpsdetexte"/>
        <w:rPr>
          <w:rFonts w:ascii="Arial" w:hAnsi="Arial"/>
          <w:b/>
          <w:color w:val="3333FF"/>
          <w:sz w:val="18"/>
          <w:szCs w:val="18"/>
          <w:lang w:eastAsia="fr-FR"/>
        </w:rPr>
      </w:pPr>
      <w:r>
        <w:rPr>
          <w:b/>
          <w:bCs/>
          <w:u w:val="single"/>
        </w:rPr>
        <w:t>Fichier Référentiel des statuts</w:t>
      </w:r>
      <w:r>
        <w:rPr>
          <w:b/>
          <w:bCs/>
        </w:rPr>
        <w:t> :</w:t>
      </w:r>
    </w:p>
    <w:p>
      <w:pPr>
        <w:pBdr>
          <w:top w:val="single" w:sz="4" w:space="1" w:color="auto"/>
          <w:left w:val="single" w:sz="4" w:space="4" w:color="auto"/>
          <w:bottom w:val="single" w:sz="4" w:space="1" w:color="auto"/>
          <w:right w:val="single" w:sz="4" w:space="4" w:color="auto"/>
        </w:pBdr>
        <w:snapToGrid w:val="0"/>
        <w:spacing w:before="0" w:after="0" w:line="10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&lt;?xml version="1.0" encoding="ISO 8859-15"?&gt;</w:t>
      </w:r>
    </w:p>
    <w:p>
      <w:pPr>
        <w:pBdr>
          <w:top w:val="single" w:sz="4" w:space="1" w:color="auto"/>
          <w:left w:val="single" w:sz="4" w:space="4" w:color="auto"/>
          <w:bottom w:val="single" w:sz="4" w:space="1" w:color="auto"/>
          <w:right w:val="single" w:sz="4" w:space="4" w:color="auto"/>
        </w:pBdr>
        <w:spacing w:before="0" w:after="0" w:line="100" w:lineRule="atLeast"/>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&lt;FICHIER_OGR&gt;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&lt;ENTETE&gt;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&lt;VERSION_DIFFUSION&gt;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24"/>
          <w:lang w:eastAsia="fr-FR"/>
        </w:rPr>
        <w:t>&lt;/VERSION_DIFFUSION&gt;</w:t>
      </w:r>
    </w:p>
    <w:p>
      <w:pPr>
        <w:pStyle w:val="ONPCorpsdetexte"/>
        <w:pBdr>
          <w:top w:val="single" w:sz="4" w:space="1" w:color="auto"/>
          <w:left w:val="single" w:sz="4" w:space="4" w:color="auto"/>
          <w:bottom w:val="single" w:sz="4" w:space="1" w:color="auto"/>
          <w:right w:val="single" w:sz="4" w:space="4" w:color="auto"/>
        </w:pBdr>
        <w:spacing w:before="0" w:after="0" w:line="240" w:lineRule="atLeast"/>
        <w:ind w:left="459" w:hanging="459"/>
        <w:rPr>
          <w:rFonts w:asciiTheme="minorHAnsi" w:hAnsiTheme="minorHAnsi" w:cstheme="minorHAnsi"/>
          <w:b/>
          <w:color w:val="3333FF"/>
          <w:sz w:val="18"/>
          <w:szCs w:val="18"/>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t xml:space="preserve">        </w:t>
      </w:r>
      <w:r>
        <w:rPr>
          <w:rFonts w:asciiTheme="minorHAnsi" w:hAnsiTheme="minorHAnsi" w:cstheme="minorHAnsi"/>
          <w:b/>
          <w:color w:val="3333FF"/>
          <w:sz w:val="18"/>
          <w:szCs w:val="18"/>
          <w:lang w:eastAsia="fr-FR"/>
        </w:rPr>
        <w:t>&lt;VERSION_FORMAT_XML&gt;</w:t>
      </w:r>
      <w:r>
        <w:rPr>
          <w:rFonts w:asciiTheme="minorHAnsi" w:hAnsiTheme="minorHAnsi" w:cstheme="minorHAnsi"/>
          <w:color w:val="FF0000"/>
          <w:sz w:val="18"/>
          <w:szCs w:val="18"/>
        </w:rPr>
        <w:t>00</w:t>
      </w:r>
      <w:r>
        <w:rPr>
          <w:rFonts w:asciiTheme="minorHAnsi" w:hAnsiTheme="minorHAnsi" w:cstheme="minorHAnsi"/>
          <w:b/>
          <w:color w:val="FF0000"/>
          <w:sz w:val="18"/>
          <w:szCs w:val="18"/>
          <w:lang w:eastAsia="fr-FR"/>
        </w:rPr>
        <w:t>.04.00</w:t>
      </w:r>
      <w:r>
        <w:rPr>
          <w:rFonts w:asciiTheme="minorHAnsi" w:hAnsiTheme="minorHAnsi" w:cstheme="minorHAnsi"/>
        </w:rPr>
        <w:t xml:space="preserve"> </w:t>
      </w:r>
      <w:r>
        <w:rPr>
          <w:rFonts w:asciiTheme="minorHAnsi" w:hAnsiTheme="minorHAnsi" w:cstheme="minorHAnsi"/>
          <w:b/>
          <w:color w:val="3333FF"/>
          <w:sz w:val="18"/>
          <w:szCs w:val="18"/>
          <w:lang w:eastAsia="fr-FR"/>
        </w:rPr>
        <w:t>&lt;/VERSION_FORMAT_XML &gt;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w:t>
      </w:r>
      <w:r>
        <w:rPr>
          <w:rFonts w:asciiTheme="minorHAnsi" w:hAnsiTheme="minorHAnsi" w:cstheme="minorHAnsi"/>
          <w:b/>
          <w:color w:val="0000FF"/>
          <w:sz w:val="18"/>
          <w:szCs w:val="18"/>
          <w:lang w:eastAsia="fr-FR"/>
        </w:rPr>
        <w:t>DIFFUSION&gt;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w:t>
      </w:r>
      <w:r>
        <w:rPr>
          <w:rFonts w:asciiTheme="minorHAnsi" w:hAnsiTheme="minorHAnsi" w:cstheme="minorHAnsi"/>
          <w:b/>
          <w:color w:val="0000FF"/>
          <w:sz w:val="18"/>
          <w:szCs w:val="18"/>
          <w:lang w:eastAsia="fr-FR"/>
        </w:rPr>
        <w:t>TRANSFERT&gt;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&lt;ID_REF&gt;</w:t>
      </w:r>
      <w:r>
        <w:rPr>
          <w:rFonts w:asciiTheme="minorHAnsi" w:hAnsiTheme="minorHAnsi" w:cstheme="minorHAnsi"/>
          <w:b/>
          <w:color w:val="FF0000"/>
          <w:sz w:val="18"/>
          <w:szCs w:val="18"/>
          <w:lang w:eastAsia="fr-FR"/>
        </w:rPr>
        <w:t>STATUT_TYPPOP</w:t>
      </w:r>
      <w:r>
        <w:rPr>
          <w:rFonts w:asciiTheme="minorHAnsi" w:hAnsiTheme="minorHAnsi" w:cstheme="minorHAnsi"/>
          <w:b/>
          <w:color w:val="3333FF"/>
          <w:sz w:val="18"/>
          <w:szCs w:val="24"/>
          <w:lang w:eastAsia="fr-FR"/>
        </w:rPr>
        <w:t>&lt;/ID_REF&gt;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color w:val="3333FF"/>
          <w:sz w:val="18"/>
          <w:szCs w:val="24"/>
          <w:lang w:val="da-DK"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val="da-DK" w:eastAsia="fr-FR"/>
        </w:rPr>
        <w:t>&lt;MODE_MAJ&gt;</w:t>
      </w:r>
      <w:r>
        <w:rPr>
          <w:rFonts w:asciiTheme="minorHAnsi" w:hAnsiTheme="minorHAnsi" w:cstheme="minorHAnsi"/>
          <w:b/>
          <w:color w:val="FF0000"/>
          <w:sz w:val="18"/>
          <w:szCs w:val="24"/>
          <w:lang w:val="da-DK" w:eastAsia="fr-FR"/>
        </w:rPr>
        <w:t>D</w:t>
      </w:r>
      <w:r>
        <w:rPr>
          <w:rFonts w:asciiTheme="minorHAnsi" w:hAnsiTheme="minorHAnsi" w:cstheme="minorHAnsi"/>
          <w:b/>
          <w:color w:val="3333FF"/>
          <w:sz w:val="18"/>
          <w:szCs w:val="24"/>
          <w:lang w:val="da-DK" w:eastAsia="fr-FR"/>
        </w:rPr>
        <w:t>&lt;/MODE_MAJ&gt;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sz w:val="18"/>
          <w:szCs w:val="24"/>
          <w:lang w:val="da-DK" w:eastAsia="fr-FR"/>
        </w:rPr>
      </w:pPr>
      <w:r>
        <w:rPr>
          <w:rFonts w:asciiTheme="minorHAnsi" w:hAnsiTheme="minorHAnsi" w:cstheme="minorHAnsi"/>
          <w:b/>
          <w:color w:val="3333FF"/>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&lt;NB_SIT_NOM/&gt;</w:t>
      </w:r>
      <w:r>
        <w:rPr>
          <w:rFonts w:asciiTheme="minorHAnsi" w:hAnsiTheme="minorHAnsi" w:cstheme="minorHAnsi"/>
          <w:b/>
          <w:color w:val="FF0000"/>
          <w:sz w:val="18"/>
          <w:szCs w:val="18"/>
          <w:lang w:val="da-DK" w:eastAsia="fr-FR"/>
        </w:rPr>
        <w:t>2</w:t>
      </w:r>
      <w:r>
        <w:rPr>
          <w:rFonts w:asciiTheme="minorHAnsi" w:hAnsiTheme="minorHAnsi" w:cstheme="minorHAnsi"/>
          <w:b/>
          <w:color w:val="3333FF"/>
          <w:sz w:val="18"/>
          <w:szCs w:val="18"/>
          <w:lang w:val="da-DK" w:eastAsia="fr-FR"/>
        </w:rPr>
        <w:t>&lt;/NB_SIT_NOM&gt;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&lt;/ENTETE&gt;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color w:val="FF0000"/>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&lt;R_STATUT_TYPPOP&gt;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&lt;VERSION_SIT_NOM&gt;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val="da-DK" w:eastAsia="fr-FR"/>
        </w:rPr>
        <w:t>&lt;/VERSION_SIT_NOM&gt;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&lt;TYPE_MAJ&gt;</w:t>
      </w:r>
      <w:r>
        <w:rPr>
          <w:rFonts w:asciiTheme="minorHAnsi" w:hAnsiTheme="minorHAnsi" w:cstheme="minorHAnsi"/>
          <w:b/>
          <w:color w:val="FF0000"/>
          <w:sz w:val="18"/>
          <w:szCs w:val="18"/>
          <w:lang w:val="da-DK" w:eastAsia="fr-FR"/>
        </w:rPr>
        <w:t>M</w:t>
      </w:r>
      <w:r>
        <w:rPr>
          <w:rFonts w:asciiTheme="minorHAnsi" w:hAnsiTheme="minorHAnsi" w:cstheme="minorHAnsi"/>
          <w:b/>
          <w:color w:val="3333FF"/>
          <w:sz w:val="18"/>
          <w:szCs w:val="18"/>
          <w:lang w:val="da-DK" w:eastAsia="fr-FR"/>
        </w:rPr>
        <w:t>&lt;/TYPE_MAJ&gt;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&lt;R_FOR_IDEN05&gt;</w:t>
      </w:r>
      <w:r>
        <w:rPr>
          <w:rFonts w:asciiTheme="minorHAnsi" w:hAnsiTheme="minorHAnsi" w:cstheme="minorHAnsi"/>
          <w:b/>
          <w:color w:val="FF0000"/>
          <w:sz w:val="18"/>
          <w:szCs w:val="18"/>
          <w:lang w:val="da-DK" w:eastAsia="fr-FR"/>
        </w:rPr>
        <w:t>CO002</w:t>
      </w:r>
      <w:r>
        <w:rPr>
          <w:rFonts w:asciiTheme="minorHAnsi" w:hAnsiTheme="minorHAnsi" w:cstheme="minorHAnsi"/>
          <w:b/>
          <w:color w:val="3333FF"/>
          <w:sz w:val="18"/>
          <w:szCs w:val="18"/>
          <w:lang w:val="da-DK" w:eastAsia="fr-FR"/>
        </w:rPr>
        <w:t>&lt;/R_FOR_IDEN05&gt;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pt-BR"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pt-BR" w:eastAsia="fr-FR"/>
        </w:rPr>
        <w:t>&lt;R_FOR_LIBCOU&gt;</w:t>
      </w:r>
      <w:r>
        <w:rPr>
          <w:rFonts w:asciiTheme="minorHAnsi" w:hAnsiTheme="minorHAnsi" w:cstheme="minorHAnsi"/>
          <w:b/>
          <w:color w:val="FF0000"/>
          <w:sz w:val="18"/>
          <w:szCs w:val="18"/>
          <w:lang w:val="pt-BR" w:eastAsia="fr-FR"/>
        </w:rPr>
        <w:t>Contractuel cabinet</w:t>
      </w:r>
      <w:r>
        <w:rPr>
          <w:rFonts w:asciiTheme="minorHAnsi" w:hAnsiTheme="minorHAnsi" w:cstheme="minorHAnsi"/>
          <w:b/>
          <w:color w:val="3333FF"/>
          <w:sz w:val="18"/>
          <w:szCs w:val="18"/>
          <w:lang w:val="pt-BR" w:eastAsia="fr-FR"/>
        </w:rPr>
        <w:t>&lt;/R_FOR_LIBCOU&gt;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pt-BR" w:eastAsia="fr-FR"/>
        </w:rPr>
      </w:pPr>
      <w:r>
        <w:rPr>
          <w:rFonts w:asciiTheme="minorHAnsi" w:hAnsiTheme="minorHAnsi" w:cstheme="minorHAnsi"/>
          <w:b/>
          <w:sz w:val="18"/>
          <w:szCs w:val="24"/>
          <w:lang w:val="pt-BR" w:eastAsia="fr-FR"/>
        </w:rPr>
        <w:tab/>
      </w:r>
      <w:r>
        <w:rPr>
          <w:rFonts w:asciiTheme="minorHAnsi" w:hAnsiTheme="minorHAnsi" w:cstheme="minorHAnsi"/>
          <w:b/>
          <w:color w:val="3333FF"/>
          <w:sz w:val="18"/>
          <w:szCs w:val="18"/>
          <w:lang w:val="pt-BR" w:eastAsia="fr-FR"/>
        </w:rPr>
        <w:t>&lt;R_FOR_LIBLON&gt;</w:t>
      </w:r>
      <w:r>
        <w:rPr>
          <w:rFonts w:asciiTheme="minorHAnsi" w:hAnsiTheme="minorHAnsi" w:cstheme="minorHAnsi"/>
          <w:b/>
          <w:color w:val="FF0000"/>
          <w:sz w:val="18"/>
          <w:szCs w:val="18"/>
          <w:lang w:val="pt-BR" w:eastAsia="fr-FR"/>
        </w:rPr>
        <w:t>Contractuel cabinet</w:t>
      </w:r>
      <w:r>
        <w:rPr>
          <w:rFonts w:asciiTheme="minorHAnsi" w:hAnsiTheme="minorHAnsi" w:cstheme="minorHAnsi"/>
          <w:b/>
          <w:color w:val="3333FF"/>
          <w:sz w:val="18"/>
          <w:szCs w:val="18"/>
          <w:lang w:val="pt-BR" w:eastAsia="fr-FR"/>
        </w:rPr>
        <w:t>&lt;/R_FOR_LIBLON&gt;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pt-BR"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1900-01-01</w:t>
      </w:r>
      <w:r>
        <w:rPr>
          <w:rFonts w:asciiTheme="minorHAnsi" w:hAnsiTheme="minorHAnsi" w:cstheme="minorHAnsi"/>
          <w:b/>
          <w:color w:val="3333FF"/>
          <w:sz w:val="18"/>
          <w:szCs w:val="18"/>
          <w:lang w:val="da-DK" w:eastAsia="fr-FR"/>
        </w:rPr>
        <w:t>&lt;/R_FOR_DATDEB&gt;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w:t>
      </w:r>
      <w:r>
        <w:rPr>
          <w:rFonts w:asciiTheme="minorHAnsi" w:hAnsiTheme="minorHAnsi" w:cstheme="minorHAnsi"/>
          <w:b/>
          <w:color w:val="FF0000"/>
          <w:sz w:val="18"/>
          <w:szCs w:val="18"/>
          <w:lang w:val="da-DK" w:eastAsia="fr-FR"/>
        </w:rPr>
        <w:t>2010-06-30</w:t>
      </w:r>
      <w:r>
        <w:rPr>
          <w:rFonts w:asciiTheme="minorHAnsi" w:hAnsiTheme="minorHAnsi" w:cstheme="minorHAnsi"/>
          <w:b/>
          <w:color w:val="3333FF"/>
          <w:sz w:val="18"/>
          <w:szCs w:val="18"/>
          <w:lang w:val="da-DK" w:eastAsia="fr-FR"/>
        </w:rPr>
        <w:t>&lt;/R_FOR_DATFIN&gt;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&lt;R_REL_STAGN1&gt;</w:t>
      </w:r>
      <w:r>
        <w:rPr>
          <w:rFonts w:asciiTheme="minorHAnsi" w:hAnsiTheme="minorHAnsi" w:cstheme="minorHAnsi"/>
          <w:b/>
          <w:color w:val="FF0000"/>
          <w:sz w:val="18"/>
          <w:szCs w:val="18"/>
          <w:lang w:val="da-DK" w:eastAsia="fr-FR"/>
        </w:rPr>
        <w:t>C0003</w:t>
      </w:r>
      <w:r>
        <w:rPr>
          <w:rFonts w:asciiTheme="minorHAnsi" w:hAnsiTheme="minorHAnsi" w:cstheme="minorHAnsi"/>
          <w:b/>
          <w:color w:val="3333FF"/>
          <w:sz w:val="18"/>
          <w:szCs w:val="18"/>
          <w:lang w:val="da-DK" w:eastAsia="fr-FR"/>
        </w:rPr>
        <w:t>&lt;/R_REL_STAGN1&gt;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&lt;R_REL_STAGN2&gt;</w:t>
      </w:r>
      <w:r>
        <w:rPr>
          <w:rFonts w:asciiTheme="minorHAnsi" w:hAnsiTheme="minorHAnsi" w:cstheme="minorHAnsi"/>
          <w:b/>
          <w:color w:val="FF0000"/>
          <w:sz w:val="18"/>
          <w:szCs w:val="18"/>
          <w:lang w:val="da-DK" w:eastAsia="fr-FR"/>
        </w:rPr>
        <w:t>C0000</w:t>
      </w:r>
      <w:r>
        <w:rPr>
          <w:rFonts w:asciiTheme="minorHAnsi" w:hAnsiTheme="minorHAnsi" w:cstheme="minorHAnsi"/>
          <w:b/>
          <w:color w:val="3333FF"/>
          <w:sz w:val="18"/>
          <w:szCs w:val="18"/>
          <w:lang w:val="da-DK" w:eastAsia="fr-FR"/>
        </w:rPr>
        <w:t>&lt;/R_REL_STAGN2&gt;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&lt;R_REL_TYPPOP&gt;</w:t>
      </w:r>
      <w:r>
        <w:rPr>
          <w:rFonts w:asciiTheme="minorHAnsi" w:hAnsiTheme="minorHAnsi" w:cstheme="minorHAnsi"/>
          <w:b/>
          <w:color w:val="FF0000"/>
          <w:sz w:val="18"/>
          <w:szCs w:val="18"/>
          <w:lang w:val="da-DK" w:eastAsia="fr-FR"/>
        </w:rPr>
        <w:t>N</w:t>
      </w:r>
      <w:r>
        <w:rPr>
          <w:rFonts w:asciiTheme="minorHAnsi" w:hAnsiTheme="minorHAnsi" w:cstheme="minorHAnsi"/>
          <w:b/>
          <w:color w:val="3333FF"/>
          <w:sz w:val="18"/>
          <w:szCs w:val="18"/>
          <w:lang w:val="da-DK" w:eastAsia="fr-FR"/>
        </w:rPr>
        <w:t>&lt;/R_REL_TYPPOP&gt;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&lt;/R_STATUT_TYPPOP&gt;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&lt;R_STATUT_TYPPOP&gt;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&lt;VERSION_SIT_NOM&gt;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val="da-DK" w:eastAsia="fr-FR"/>
        </w:rPr>
        <w:t>&lt;/VERSION_SIT_NOM&gt;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t>&lt;TYPE_MAJ&gt;</w:t>
      </w:r>
      <w:r>
        <w:rPr>
          <w:rFonts w:asciiTheme="minorHAnsi" w:hAnsiTheme="minorHAnsi" w:cstheme="minorHAnsi"/>
          <w:b/>
          <w:color w:val="FF0000"/>
          <w:sz w:val="18"/>
          <w:szCs w:val="18"/>
          <w:lang w:val="da-DK" w:eastAsia="fr-FR"/>
        </w:rPr>
        <w:t>A</w:t>
      </w:r>
      <w:r>
        <w:rPr>
          <w:rFonts w:asciiTheme="minorHAnsi" w:hAnsiTheme="minorHAnsi" w:cstheme="minorHAnsi"/>
          <w:b/>
          <w:color w:val="3333FF"/>
          <w:sz w:val="18"/>
          <w:szCs w:val="18"/>
          <w:lang w:val="da-DK" w:eastAsia="fr-FR"/>
        </w:rPr>
        <w:t>&lt;/TYPE_MAJ&gt;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&lt;R_FOR_IDEN05&gt;</w:t>
      </w:r>
      <w:r>
        <w:rPr>
          <w:rFonts w:asciiTheme="minorHAnsi" w:hAnsiTheme="minorHAnsi" w:cstheme="minorHAnsi"/>
          <w:b/>
          <w:color w:val="FF0000"/>
          <w:sz w:val="18"/>
          <w:szCs w:val="18"/>
          <w:lang w:val="da-DK" w:eastAsia="fr-FR"/>
        </w:rPr>
        <w:t>INTER</w:t>
      </w:r>
      <w:r>
        <w:rPr>
          <w:rFonts w:asciiTheme="minorHAnsi" w:hAnsiTheme="minorHAnsi" w:cstheme="minorHAnsi"/>
          <w:b/>
          <w:color w:val="3333FF"/>
          <w:sz w:val="18"/>
          <w:szCs w:val="18"/>
          <w:lang w:val="da-DK" w:eastAsia="fr-FR"/>
        </w:rPr>
        <w:t>&lt;/R_FOR_IDEN05&gt;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&lt;R_FOR_LIBCOU&gt;</w:t>
      </w:r>
      <w:r>
        <w:rPr>
          <w:rFonts w:asciiTheme="minorHAnsi" w:hAnsiTheme="minorHAnsi" w:cstheme="minorHAnsi"/>
          <w:b/>
          <w:color w:val="FF0000"/>
          <w:sz w:val="18"/>
          <w:szCs w:val="18"/>
          <w:lang w:val="da-DK" w:eastAsia="fr-FR"/>
        </w:rPr>
        <w:t>Interne Universitaire</w:t>
      </w:r>
      <w:r>
        <w:rPr>
          <w:rFonts w:asciiTheme="minorHAnsi" w:hAnsiTheme="minorHAnsi" w:cstheme="minorHAnsi"/>
          <w:b/>
          <w:color w:val="3333FF"/>
          <w:sz w:val="18"/>
          <w:szCs w:val="18"/>
          <w:lang w:val="da-DK" w:eastAsia="fr-FR"/>
        </w:rPr>
        <w:t>&lt;/R_FOR_LIBCOU&gt;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&lt;R_FOR_LIBLON&gt;</w:t>
      </w:r>
      <w:r>
        <w:rPr>
          <w:rFonts w:asciiTheme="minorHAnsi" w:hAnsiTheme="minorHAnsi" w:cstheme="minorHAnsi"/>
          <w:b/>
          <w:color w:val="FF0000"/>
          <w:sz w:val="18"/>
          <w:szCs w:val="18"/>
          <w:lang w:val="da-DK" w:eastAsia="fr-FR"/>
        </w:rPr>
        <w:t>Interne Universitaire</w:t>
      </w:r>
      <w:r>
        <w:rPr>
          <w:rFonts w:asciiTheme="minorHAnsi" w:hAnsiTheme="minorHAnsi" w:cstheme="minorHAnsi"/>
          <w:b/>
          <w:color w:val="3333FF"/>
          <w:sz w:val="18"/>
          <w:szCs w:val="18"/>
          <w:lang w:val="da-DK" w:eastAsia="fr-FR"/>
        </w:rPr>
        <w:t>&lt;/R_FOR_LIBLON&gt;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&lt;R_FOR_DATFIN&gt;&lt;/R_FOR_DATFIN&gt;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&lt;R_REL_STAGN1&gt;</w:t>
      </w:r>
      <w:r>
        <w:rPr>
          <w:rFonts w:asciiTheme="minorHAnsi" w:hAnsiTheme="minorHAnsi" w:cstheme="minorHAnsi"/>
          <w:b/>
          <w:color w:val="FF0000"/>
          <w:sz w:val="18"/>
          <w:szCs w:val="18"/>
          <w:lang w:val="da-DK" w:eastAsia="fr-FR"/>
        </w:rPr>
        <w:t>INTER</w:t>
      </w:r>
      <w:r>
        <w:rPr>
          <w:rFonts w:asciiTheme="minorHAnsi" w:hAnsiTheme="minorHAnsi" w:cstheme="minorHAnsi"/>
          <w:b/>
          <w:color w:val="3333FF"/>
          <w:sz w:val="18"/>
          <w:szCs w:val="18"/>
          <w:lang w:val="da-DK" w:eastAsia="fr-FR"/>
        </w:rPr>
        <w:t>&lt;/R_REL_STAGN1&gt;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&lt;R_REL_STAGN2&gt;</w:t>
      </w:r>
      <w:r>
        <w:rPr>
          <w:rFonts w:asciiTheme="minorHAnsi" w:hAnsiTheme="minorHAnsi" w:cstheme="minorHAnsi"/>
          <w:b/>
          <w:color w:val="FF0000"/>
          <w:sz w:val="18"/>
          <w:szCs w:val="18"/>
          <w:lang w:val="da-DK" w:eastAsia="fr-FR"/>
        </w:rPr>
        <w:t>PERUN</w:t>
      </w:r>
      <w:r>
        <w:rPr>
          <w:rFonts w:asciiTheme="minorHAnsi" w:hAnsiTheme="minorHAnsi" w:cstheme="minorHAnsi"/>
          <w:b/>
          <w:color w:val="3333FF"/>
          <w:sz w:val="18"/>
          <w:szCs w:val="18"/>
          <w:lang w:val="da-DK" w:eastAsia="fr-FR"/>
        </w:rPr>
        <w:t>&lt;/R_REL_STAGN2&gt;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&lt;R_REL_TYPPOP&gt;</w:t>
      </w:r>
      <w:r>
        <w:rPr>
          <w:rFonts w:asciiTheme="minorHAnsi" w:hAnsiTheme="minorHAnsi" w:cstheme="minorHAnsi"/>
          <w:b/>
          <w:color w:val="FF0000"/>
          <w:sz w:val="18"/>
          <w:szCs w:val="18"/>
          <w:lang w:val="da-DK" w:eastAsia="fr-FR"/>
        </w:rPr>
        <w:t>E</w:t>
      </w:r>
      <w:r>
        <w:rPr>
          <w:rFonts w:asciiTheme="minorHAnsi" w:hAnsiTheme="minorHAnsi" w:cstheme="minorHAnsi"/>
          <w:b/>
          <w:color w:val="3333FF"/>
          <w:sz w:val="18"/>
          <w:szCs w:val="18"/>
          <w:lang w:val="da-DK" w:eastAsia="fr-FR"/>
        </w:rPr>
        <w:t>&lt;/R_REL_TYPPOP&gt;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eastAsia="fr-FR"/>
        </w:rPr>
        <w:t>&lt;/R_STATUT_TYPPOP&gt;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&lt;/DONNEES_MAJ&gt;</w:t>
      </w:r>
    </w:p>
    <w:p>
      <w:pPr>
        <w:pBdr>
          <w:top w:val="single" w:sz="4" w:space="1" w:color="auto"/>
          <w:left w:val="single" w:sz="4" w:space="4" w:color="auto"/>
          <w:bottom w:val="single" w:sz="4" w:space="1" w:color="auto"/>
          <w:right w:val="single" w:sz="4" w:space="4" w:color="auto"/>
        </w:pBdr>
        <w:spacing w:before="0" w:after="0" w:line="100" w:lineRule="atLeast"/>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&lt;FICHIER_OGR&gt;</w:t>
      </w:r>
    </w:p>
    <w:p>
      <w:pPr>
        <w:spacing w:before="0" w:after="0" w:line="100" w:lineRule="atLeast"/>
        <w:ind w:firstLine="284"/>
        <w:rPr>
          <w:rFonts w:ascii="Arial" w:hAnsi="Arial" w:cs="Arial"/>
          <w:b/>
          <w:color w:val="3333FF"/>
          <w:sz w:val="18"/>
          <w:szCs w:val="18"/>
          <w:lang w:eastAsia="fr-FR"/>
        </w:rPr>
      </w:pPr>
    </w:p>
    <w:p>
      <w:pPr>
        <w:rPr>
          <w:rFonts w:ascii="Arial" w:hAnsi="Arial" w:cs="Arial"/>
          <w:b/>
          <w:color w:val="3333FF"/>
          <w:sz w:val="18"/>
          <w:szCs w:val="18"/>
          <w:lang w:eastAsia="fr-FR"/>
        </w:rPr>
      </w:pPr>
      <w:r>
        <w:rPr>
          <w:b/>
          <w:bCs/>
          <w:u w:val="single"/>
        </w:rPr>
        <w:t>Fichier Référentiel des typologies de population</w:t>
      </w:r>
      <w:r>
        <w:t> :</w:t>
      </w:r>
    </w:p>
    <w:p>
      <w:pPr>
        <w:pBdr>
          <w:top w:val="single" w:sz="4" w:space="1" w:color="auto"/>
          <w:left w:val="single" w:sz="4" w:space="4" w:color="auto"/>
          <w:bottom w:val="single" w:sz="4" w:space="1" w:color="auto"/>
          <w:right w:val="single" w:sz="4" w:space="4" w:color="auto"/>
        </w:pBdr>
        <w:snapToGrid w:val="0"/>
        <w:spacing w:before="0" w:after="0" w:line="10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lastRenderedPageBreak/>
        <w:t>&lt;?xml version="1.0" encoding="ISO 8859-15"?&gt;</w:t>
      </w:r>
    </w:p>
    <w:p>
      <w:pPr>
        <w:pBdr>
          <w:top w:val="single" w:sz="4" w:space="1" w:color="auto"/>
          <w:left w:val="single" w:sz="4" w:space="4" w:color="auto"/>
          <w:bottom w:val="single" w:sz="4" w:space="1" w:color="auto"/>
          <w:right w:val="single" w:sz="4" w:space="4" w:color="auto"/>
        </w:pBdr>
        <w:spacing w:before="0" w:after="0" w:line="100" w:lineRule="atLeast"/>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&lt;FICHIER_OGR&gt;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&lt;ENTETE&gt;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&lt;VERSION_DIFFUSION&gt;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24"/>
          <w:lang w:eastAsia="fr-FR"/>
        </w:rPr>
        <w:t>&lt;/VERSION_DIFFUSION&gt;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&lt;VERSION_FORMAT_XML &gt;</w:t>
      </w:r>
      <w:r>
        <w:rPr>
          <w:rFonts w:asciiTheme="minorHAnsi" w:hAnsiTheme="minorHAnsi" w:cstheme="minorHAnsi"/>
          <w:b/>
          <w:color w:val="FF0000"/>
          <w:sz w:val="18"/>
          <w:szCs w:val="18"/>
          <w:lang w:eastAsia="fr-FR"/>
        </w:rPr>
        <w:t>00.04.00</w:t>
      </w:r>
      <w:r>
        <w:rPr>
          <w:rFonts w:asciiTheme="minorHAnsi" w:hAnsiTheme="minorHAnsi" w:cstheme="minorHAnsi"/>
          <w:b/>
          <w:color w:val="3333FF"/>
          <w:sz w:val="18"/>
          <w:szCs w:val="18"/>
          <w:lang w:eastAsia="fr-FR"/>
        </w:rPr>
        <w:t>&lt;/VERSION_FORMAT_XML &gt;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&lt;ID_DIFFUSION&gt;</w:t>
      </w:r>
      <w:r>
        <w:rPr>
          <w:rFonts w:asciiTheme="minorHAnsi" w:hAnsiTheme="minorHAnsi" w:cstheme="minorHAnsi"/>
          <w:b/>
          <w:color w:val="FF0000"/>
          <w:sz w:val="18"/>
          <w:szCs w:val="18"/>
          <w:lang w:eastAsia="fr-FR"/>
        </w:rPr>
        <w:t>0014001</w:t>
      </w:r>
      <w:r>
        <w:rPr>
          <w:rFonts w:asciiTheme="minorHAnsi" w:hAnsiTheme="minorHAnsi" w:cstheme="minorHAnsi"/>
          <w:b/>
          <w:color w:val="3333FF"/>
          <w:sz w:val="18"/>
          <w:szCs w:val="18"/>
          <w:lang w:eastAsia="fr-FR"/>
        </w:rPr>
        <w:t>&lt;/ID_</w:t>
      </w:r>
      <w:r>
        <w:rPr>
          <w:rFonts w:asciiTheme="minorHAnsi" w:hAnsiTheme="minorHAnsi" w:cstheme="minorHAnsi"/>
          <w:b/>
          <w:color w:val="0000FF"/>
          <w:sz w:val="18"/>
          <w:szCs w:val="18"/>
          <w:lang w:eastAsia="fr-FR"/>
        </w:rPr>
        <w:t>DIFFUSION&gt;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&lt;ID_TRANSFERT&gt;</w:t>
      </w:r>
      <w:r>
        <w:rPr>
          <w:rFonts w:asciiTheme="minorHAnsi" w:hAnsiTheme="minorHAnsi" w:cstheme="minorHAnsi"/>
          <w:b/>
          <w:color w:val="FF0000"/>
          <w:sz w:val="18"/>
          <w:szCs w:val="18"/>
          <w:lang w:eastAsia="fr-FR"/>
        </w:rPr>
        <w:t>0310001</w:t>
      </w:r>
      <w:r>
        <w:rPr>
          <w:rFonts w:asciiTheme="minorHAnsi" w:hAnsiTheme="minorHAnsi" w:cstheme="minorHAnsi"/>
          <w:b/>
          <w:color w:val="3333FF"/>
          <w:sz w:val="18"/>
          <w:szCs w:val="18"/>
          <w:lang w:eastAsia="fr-FR"/>
        </w:rPr>
        <w:t>&lt;/ID_</w:t>
      </w:r>
      <w:r>
        <w:rPr>
          <w:rFonts w:asciiTheme="minorHAnsi" w:hAnsiTheme="minorHAnsi" w:cstheme="minorHAnsi"/>
          <w:b/>
          <w:color w:val="0000FF"/>
          <w:sz w:val="18"/>
          <w:szCs w:val="18"/>
          <w:lang w:eastAsia="fr-FR"/>
        </w:rPr>
        <w:t>TRANSFERT&gt;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&lt;ID_REF&gt;</w:t>
      </w:r>
      <w:r>
        <w:rPr>
          <w:rFonts w:asciiTheme="minorHAnsi" w:hAnsiTheme="minorHAnsi" w:cstheme="minorHAnsi"/>
          <w:b/>
          <w:color w:val="FF0000"/>
          <w:sz w:val="18"/>
          <w:szCs w:val="24"/>
          <w:lang w:eastAsia="fr-FR"/>
        </w:rPr>
        <w:t>TYPO_POP</w:t>
      </w:r>
      <w:r>
        <w:rPr>
          <w:rFonts w:asciiTheme="minorHAnsi" w:hAnsiTheme="minorHAnsi" w:cstheme="minorHAnsi"/>
          <w:b/>
          <w:color w:val="3333FF"/>
          <w:sz w:val="18"/>
          <w:szCs w:val="24"/>
          <w:lang w:eastAsia="fr-FR"/>
        </w:rPr>
        <w:t>&lt;/ID_REF&gt;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24"/>
          <w:lang w:val="da-DK"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val="da-DK" w:eastAsia="fr-FR"/>
        </w:rPr>
        <w:t>&lt;MODE_MAJ&gt;</w:t>
      </w:r>
      <w:r>
        <w:rPr>
          <w:rFonts w:asciiTheme="minorHAnsi" w:hAnsiTheme="minorHAnsi" w:cstheme="minorHAnsi"/>
          <w:b/>
          <w:color w:val="FF0000"/>
          <w:sz w:val="18"/>
          <w:szCs w:val="24"/>
          <w:lang w:val="da-DK" w:eastAsia="fr-FR"/>
        </w:rPr>
        <w:t>D</w:t>
      </w:r>
      <w:r>
        <w:rPr>
          <w:rFonts w:asciiTheme="minorHAnsi" w:hAnsiTheme="minorHAnsi" w:cstheme="minorHAnsi"/>
          <w:b/>
          <w:color w:val="3333FF"/>
          <w:sz w:val="18"/>
          <w:szCs w:val="24"/>
          <w:lang w:val="da-DK" w:eastAsia="fr-FR"/>
        </w:rPr>
        <w:t>&lt;/MODE_MAJ&gt;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&lt;NB_SIT_NOM/&gt;</w:t>
      </w:r>
      <w:r>
        <w:rPr>
          <w:rFonts w:asciiTheme="minorHAnsi" w:hAnsiTheme="minorHAnsi" w:cstheme="minorHAnsi"/>
          <w:b/>
          <w:color w:val="FF0000"/>
          <w:sz w:val="18"/>
          <w:szCs w:val="18"/>
          <w:lang w:val="da-DK" w:eastAsia="fr-FR"/>
        </w:rPr>
        <w:t>2</w:t>
      </w:r>
      <w:r>
        <w:rPr>
          <w:rFonts w:asciiTheme="minorHAnsi" w:hAnsiTheme="minorHAnsi" w:cstheme="minorHAnsi"/>
          <w:b/>
          <w:color w:val="3333FF"/>
          <w:sz w:val="18"/>
          <w:szCs w:val="18"/>
          <w:lang w:val="da-DK" w:eastAsia="fr-FR"/>
        </w:rPr>
        <w:t>&lt;/NB_SIT_NOM&gt;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&lt;/ENTETE&gt;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&lt;VERSION_SIT_NOM&gt;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val="da-DK" w:eastAsia="fr-FR"/>
        </w:rPr>
        <w:t>&lt;/VERSION_SIT_NOM&gt;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&lt;TYPE_MAJ&gt;</w:t>
      </w:r>
      <w:r>
        <w:rPr>
          <w:rFonts w:asciiTheme="minorHAnsi" w:hAnsiTheme="minorHAnsi" w:cstheme="minorHAnsi"/>
          <w:b/>
          <w:color w:val="FF0000"/>
          <w:sz w:val="18"/>
          <w:szCs w:val="18"/>
          <w:lang w:val="da-DK" w:eastAsia="fr-FR"/>
        </w:rPr>
        <w:t>A</w:t>
      </w:r>
      <w:r>
        <w:rPr>
          <w:rFonts w:asciiTheme="minorHAnsi" w:hAnsiTheme="minorHAnsi" w:cstheme="minorHAnsi"/>
          <w:b/>
          <w:color w:val="3333FF"/>
          <w:sz w:val="18"/>
          <w:szCs w:val="18"/>
          <w:lang w:val="da-DK" w:eastAsia="fr-FR"/>
        </w:rPr>
        <w:t>&lt;/TYPE_MAJ&gt;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E</w:t>
      </w:r>
      <w:r>
        <w:rPr>
          <w:rFonts w:asciiTheme="minorHAnsi" w:hAnsiTheme="minorHAnsi" w:cstheme="minorHAnsi"/>
          <w:b/>
          <w:color w:val="3333FF"/>
          <w:sz w:val="18"/>
          <w:szCs w:val="18"/>
          <w:lang w:val="da-DK" w:eastAsia="fr-FR"/>
        </w:rPr>
        <w:t>&lt;/R_FOR_IDEN01&gt;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Etudiant</w:t>
      </w:r>
      <w:r>
        <w:rPr>
          <w:rFonts w:asciiTheme="minorHAnsi" w:hAnsiTheme="minorHAnsi" w:cstheme="minorHAnsi"/>
          <w:b/>
          <w:color w:val="3333FF"/>
          <w:sz w:val="18"/>
          <w:szCs w:val="18"/>
          <w:lang w:val="da-DK" w:eastAsia="fr-FR"/>
        </w:rPr>
        <w:t>&lt;/ R_FOR_LIBCOU&gt;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Etudiant</w:t>
      </w:r>
      <w:r>
        <w:rPr>
          <w:rFonts w:asciiTheme="minorHAnsi" w:hAnsiTheme="minorHAnsi" w:cstheme="minorHAnsi"/>
          <w:b/>
          <w:color w:val="3333FF"/>
          <w:sz w:val="18"/>
          <w:szCs w:val="18"/>
          <w:lang w:val="da-DK" w:eastAsia="fr-FR"/>
        </w:rPr>
        <w:t>&lt;/R_FOR_LIBLON&gt;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2011-06-02</w:t>
      </w:r>
      <w:r>
        <w:rPr>
          <w:rFonts w:asciiTheme="minorHAnsi" w:hAnsiTheme="minorHAnsi" w:cstheme="minorHAnsi"/>
          <w:b/>
          <w:color w:val="3333FF"/>
          <w:sz w:val="18"/>
          <w:szCs w:val="18"/>
          <w:lang w:val="da-DK" w:eastAsia="fr-FR"/>
        </w:rPr>
        <w:t>&lt;/R_FOR_DATDEB&gt;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&lt;VERSION_SIT_NOM&gt;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val="da-DK" w:eastAsia="fr-FR"/>
        </w:rPr>
        <w:t>&lt;/VERSION_SIT_NOM&gt;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&lt;TYPE_MAJ&gt;</w:t>
      </w:r>
      <w:r>
        <w:rPr>
          <w:rFonts w:asciiTheme="minorHAnsi" w:hAnsiTheme="minorHAnsi" w:cstheme="minorHAnsi"/>
          <w:b/>
          <w:color w:val="FF0000"/>
          <w:sz w:val="18"/>
          <w:szCs w:val="18"/>
          <w:lang w:val="da-DK" w:eastAsia="fr-FR"/>
        </w:rPr>
        <w:t>M</w:t>
      </w:r>
      <w:r>
        <w:rPr>
          <w:rFonts w:asciiTheme="minorHAnsi" w:hAnsiTheme="minorHAnsi" w:cstheme="minorHAnsi"/>
          <w:b/>
          <w:color w:val="3333FF"/>
          <w:sz w:val="18"/>
          <w:szCs w:val="18"/>
          <w:lang w:val="da-DK" w:eastAsia="fr-FR"/>
        </w:rPr>
        <w:t>&lt;/TYPE_MAJ&gt;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O</w:t>
      </w:r>
      <w:r>
        <w:rPr>
          <w:rFonts w:asciiTheme="minorHAnsi" w:hAnsiTheme="minorHAnsi" w:cstheme="minorHAnsi"/>
          <w:b/>
          <w:color w:val="3333FF"/>
          <w:sz w:val="18"/>
          <w:szCs w:val="18"/>
          <w:lang w:val="da-DK" w:eastAsia="fr-FR"/>
        </w:rPr>
        <w:t>&lt;/R_FOR_IDEN01&gt;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Ouvrier</w:t>
      </w:r>
      <w:r>
        <w:rPr>
          <w:rFonts w:asciiTheme="minorHAnsi" w:hAnsiTheme="minorHAnsi" w:cstheme="minorHAnsi"/>
          <w:b/>
          <w:color w:val="3333FF"/>
          <w:sz w:val="18"/>
          <w:szCs w:val="18"/>
          <w:lang w:val="da-DK" w:eastAsia="fr-FR"/>
        </w:rPr>
        <w:t>&lt;/ R_FOR_LIBCOU&gt;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Ouvrier d’état</w:t>
      </w:r>
      <w:r>
        <w:rPr>
          <w:rFonts w:asciiTheme="minorHAnsi" w:hAnsiTheme="minorHAnsi" w:cstheme="minorHAnsi"/>
          <w:b/>
          <w:color w:val="3333FF"/>
          <w:sz w:val="18"/>
          <w:szCs w:val="18"/>
          <w:lang w:val="da-DK" w:eastAsia="fr-FR"/>
        </w:rPr>
        <w:t>&lt;/R_FOR_LIBLON&gt;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2011-06-02</w:t>
      </w:r>
      <w:r>
        <w:rPr>
          <w:rFonts w:asciiTheme="minorHAnsi" w:hAnsiTheme="minorHAnsi" w:cstheme="minorHAnsi"/>
          <w:b/>
          <w:color w:val="3333FF"/>
          <w:sz w:val="18"/>
          <w:szCs w:val="18"/>
          <w:lang w:val="da-DK" w:eastAsia="fr-FR"/>
        </w:rPr>
        <w:t>&lt;/R_FOR_DATDEB&gt;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FF0000"/>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pBdr>
          <w:top w:val="single" w:sz="4" w:space="1" w:color="auto"/>
          <w:left w:val="single" w:sz="4" w:space="4" w:color="auto"/>
          <w:bottom w:val="single" w:sz="4" w:space="1" w:color="auto"/>
          <w:right w:val="single" w:sz="4" w:space="4" w:color="auto"/>
        </w:pBdr>
        <w:spacing w:before="0" w:after="0" w:line="100" w:lineRule="atLeast"/>
        <w:rPr>
          <w:rFonts w:ascii="Arial" w:hAnsi="Arial" w:cs="Arial"/>
          <w:b/>
          <w:sz w:val="18"/>
          <w:szCs w:val="24"/>
          <w:lang w:eastAsia="fr-FR"/>
        </w:rPr>
      </w:pPr>
      <w:r>
        <w:rPr>
          <w:rFonts w:asciiTheme="minorHAnsi" w:hAnsiTheme="minorHAnsi" w:cstheme="minorHAnsi"/>
          <w:b/>
          <w:color w:val="3333FF"/>
          <w:sz w:val="18"/>
          <w:szCs w:val="18"/>
          <w:lang w:eastAsia="fr-FR"/>
        </w:rPr>
        <w:t>&lt;FICHIER_OGR&gt;</w:t>
      </w:r>
    </w:p>
    <w:p>
      <w:pPr>
        <w:spacing w:before="0" w:after="0" w:line="100" w:lineRule="atLeast"/>
        <w:rPr>
          <w:lang w:val="en-US"/>
        </w:rPr>
      </w:pPr>
    </w:p>
    <w:p>
      <w:pPr>
        <w:pStyle w:val="Titre2"/>
      </w:pPr>
      <w:bookmarkStart w:id="239" w:name="_Toc420486262"/>
      <w:bookmarkStart w:id="240" w:name="_Toc20761141"/>
      <w:r>
        <w:t>Fichier « Référentiel » en mode complet</w:t>
      </w:r>
      <w:bookmarkEnd w:id="239"/>
      <w:bookmarkEnd w:id="240"/>
    </w:p>
    <w:p>
      <w:pPr>
        <w:pStyle w:val="ONPPoint1"/>
        <w:jc w:val="both"/>
      </w:pPr>
      <w:r>
        <w:t xml:space="preserve">L’exemple ci-dessous illustre la valorisation (en mode complet) des données du fichier INGRES « Référentiel » des typologies de population </w:t>
      </w:r>
    </w:p>
    <w:p>
      <w:pPr>
        <w:pStyle w:val="ONPPoint1"/>
        <w:jc w:val="both"/>
      </w:pPr>
      <w:r>
        <w:t>La diffusion illustrée ici correspond à un contenu correspondant à la version 00.04.00 du Noyau RH FPE diffusée dans un format correspondant au format de la version 00.04.00 du Dictionnaire de données.</w:t>
      </w:r>
    </w:p>
    <w:p>
      <w:pPr>
        <w:pStyle w:val="ONPPoint1"/>
        <w:numPr>
          <w:ilvl w:val="0"/>
          <w:numId w:val="0"/>
        </w:numPr>
        <w:ind w:left="360"/>
        <w:rPr>
          <w:b/>
          <w:bCs/>
          <w:u w:val="single"/>
        </w:rPr>
      </w:pPr>
    </w:p>
    <w:p>
      <w:pPr>
        <w:rPr>
          <w:rFonts w:ascii="Arial" w:hAnsi="Arial" w:cs="Arial"/>
          <w:b/>
          <w:color w:val="3333FF"/>
          <w:sz w:val="18"/>
          <w:szCs w:val="18"/>
          <w:lang w:eastAsia="fr-FR"/>
        </w:rPr>
      </w:pPr>
      <w:r>
        <w:rPr>
          <w:b/>
          <w:bCs/>
          <w:u w:val="single"/>
        </w:rPr>
        <w:t>Fichier Référentiel des typologies de population</w:t>
      </w:r>
      <w:r>
        <w:t> (mode complet) :</w:t>
      </w:r>
    </w:p>
    <w:p>
      <w:pPr>
        <w:snapToGrid w:val="0"/>
        <w:spacing w:before="0" w:after="0" w:line="10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&lt;?xml version="1.0" encoding="ISO 8859-15"?&gt;</w:t>
      </w:r>
    </w:p>
    <w:p>
      <w:pPr>
        <w:spacing w:before="0" w:after="0" w:line="100" w:lineRule="atLeast"/>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&lt;FICHIER_OGR&gt;</w:t>
      </w:r>
    </w:p>
    <w:p>
      <w:pPr>
        <w:spacing w:before="0" w:after="0" w:line="100" w:lineRule="atLeast"/>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&lt;ENTETE&gt;</w:t>
      </w:r>
    </w:p>
    <w:p>
      <w:pPr>
        <w:spacing w:before="0" w:after="0" w:line="100" w:lineRule="atLeast"/>
        <w:ind w:firstLine="426"/>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&lt;VERSION_DIFFUSION&gt;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24"/>
          <w:lang w:eastAsia="fr-FR"/>
        </w:rPr>
        <w:t>&lt;/VERSION_DIFFUSION&gt;</w:t>
      </w:r>
    </w:p>
    <w:p>
      <w:pP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&lt;VERSION_FORMAT_XML &gt;</w:t>
      </w:r>
      <w:r>
        <w:rPr>
          <w:rFonts w:asciiTheme="minorHAnsi" w:hAnsiTheme="minorHAnsi" w:cstheme="minorHAnsi"/>
          <w:b/>
          <w:color w:val="FF0000"/>
          <w:sz w:val="18"/>
          <w:szCs w:val="18"/>
          <w:lang w:eastAsia="fr-FR"/>
        </w:rPr>
        <w:t>00.04.00</w:t>
      </w:r>
      <w:r>
        <w:rPr>
          <w:rFonts w:asciiTheme="minorHAnsi" w:hAnsiTheme="minorHAnsi" w:cstheme="minorHAnsi"/>
          <w:b/>
          <w:color w:val="3333FF"/>
          <w:sz w:val="18"/>
          <w:szCs w:val="18"/>
          <w:lang w:eastAsia="fr-FR"/>
        </w:rPr>
        <w:t>&lt;/VERSION_FORMAT_XML &gt;</w:t>
      </w:r>
    </w:p>
    <w:p>
      <w:pP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18"/>
          <w:lang w:eastAsia="fr-FR"/>
        </w:rPr>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&lt;/ID_DIFFUSION&gt;</w:t>
      </w:r>
    </w:p>
    <w:p>
      <w:pP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&lt;/ID_TRANSFERT&gt;</w:t>
      </w:r>
    </w:p>
    <w:p>
      <w:pPr>
        <w:spacing w:before="0" w:after="0" w:line="100" w:lineRule="atLeast"/>
        <w:ind w:firstLine="426"/>
        <w:rPr>
          <w:rFonts w:asciiTheme="minorHAnsi" w:hAnsiTheme="minorHAnsi" w:cstheme="minorHAnsi"/>
          <w:b/>
          <w:color w:val="3333FF"/>
          <w:sz w:val="18"/>
          <w:szCs w:val="24"/>
          <w:lang w:eastAsia="fr-FR"/>
        </w:rPr>
      </w:pPr>
      <w:r>
        <w:rPr>
          <w:rFonts w:asciiTheme="minorHAnsi" w:hAnsiTheme="minorHAnsi" w:cstheme="minorHAnsi"/>
          <w:b/>
          <w:color w:val="3333FF"/>
          <w:sz w:val="18"/>
          <w:szCs w:val="18"/>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&lt;ID_REF&gt;</w:t>
      </w:r>
      <w:r>
        <w:rPr>
          <w:rFonts w:asciiTheme="minorHAnsi" w:hAnsiTheme="minorHAnsi" w:cstheme="minorHAnsi"/>
          <w:b/>
          <w:color w:val="FF0000"/>
          <w:sz w:val="18"/>
          <w:szCs w:val="24"/>
          <w:lang w:eastAsia="fr-FR"/>
        </w:rPr>
        <w:t>TYPO_POP</w:t>
      </w:r>
      <w:r>
        <w:rPr>
          <w:rFonts w:asciiTheme="minorHAnsi" w:hAnsiTheme="minorHAnsi" w:cstheme="minorHAnsi"/>
          <w:b/>
          <w:color w:val="3333FF"/>
          <w:sz w:val="18"/>
          <w:szCs w:val="24"/>
          <w:lang w:eastAsia="fr-FR"/>
        </w:rPr>
        <w:t>&lt;/ID_REF&gt;</w:t>
      </w:r>
    </w:p>
    <w:p>
      <w:pPr>
        <w:spacing w:before="0" w:after="0" w:line="100" w:lineRule="atLeast"/>
        <w:ind w:firstLine="426"/>
        <w:rPr>
          <w:rFonts w:asciiTheme="minorHAnsi" w:hAnsiTheme="minorHAnsi" w:cstheme="minorHAnsi"/>
          <w:b/>
          <w:sz w:val="18"/>
          <w:szCs w:val="24"/>
          <w:lang w:val="da-DK" w:eastAsia="fr-FR"/>
        </w:rPr>
      </w:pPr>
      <w:r>
        <w:rPr>
          <w:rFonts w:asciiTheme="minorHAnsi" w:hAnsiTheme="minorHAnsi" w:cstheme="minorHAnsi"/>
          <w:b/>
          <w:color w:val="3333FF"/>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val="da-DK" w:eastAsia="fr-FR"/>
        </w:rPr>
        <w:t>&lt;NB_SIT_NOM/&gt;</w:t>
      </w:r>
      <w:r>
        <w:rPr>
          <w:rFonts w:asciiTheme="minorHAnsi" w:hAnsiTheme="minorHAnsi" w:cstheme="minorHAnsi"/>
          <w:b/>
          <w:color w:val="FF0000"/>
          <w:sz w:val="18"/>
          <w:szCs w:val="18"/>
          <w:lang w:val="da-DK" w:eastAsia="fr-FR"/>
        </w:rPr>
        <w:t>5</w:t>
      </w:r>
      <w:r>
        <w:rPr>
          <w:rFonts w:asciiTheme="minorHAnsi" w:hAnsiTheme="minorHAnsi" w:cstheme="minorHAnsi"/>
          <w:b/>
          <w:color w:val="3333FF"/>
          <w:sz w:val="18"/>
          <w:szCs w:val="18"/>
          <w:lang w:val="da-DK" w:eastAsia="fr-FR"/>
        </w:rPr>
        <w:t>&lt;/NB_SIT_NOM&gt;</w:t>
      </w:r>
    </w:p>
    <w:p>
      <w:pPr>
        <w:spacing w:before="0" w:after="0" w:line="100" w:lineRule="atLeast"/>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lastRenderedPageBreak/>
        <w:tab/>
      </w:r>
      <w:r>
        <w:rPr>
          <w:rFonts w:asciiTheme="minorHAnsi" w:hAnsiTheme="minorHAnsi" w:cstheme="minorHAnsi"/>
          <w:b/>
          <w:color w:val="3333FF"/>
          <w:sz w:val="18"/>
          <w:szCs w:val="18"/>
          <w:lang w:val="da-DK" w:eastAsia="fr-FR"/>
        </w:rPr>
        <w:t>&lt;/ENTETE&gt;</w:t>
      </w:r>
    </w:p>
    <w:p>
      <w:pPr>
        <w:spacing w:before="0" w:after="0" w:line="100" w:lineRule="atLeast"/>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M</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pt-BR"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pt-BR" w:eastAsia="fr-FR"/>
        </w:rPr>
        <w:t>&lt;R_FOR_LIBCOU&gt;</w:t>
      </w:r>
      <w:r>
        <w:rPr>
          <w:rFonts w:asciiTheme="minorHAnsi" w:hAnsiTheme="minorHAnsi" w:cstheme="minorHAnsi"/>
          <w:b/>
          <w:color w:val="FF0000"/>
          <w:sz w:val="18"/>
          <w:szCs w:val="18"/>
          <w:lang w:val="pt-BR" w:eastAsia="fr-FR"/>
        </w:rPr>
        <w:t>Militaire</w:t>
      </w:r>
      <w:r>
        <w:rPr>
          <w:rFonts w:asciiTheme="minorHAnsi" w:hAnsiTheme="minorHAnsi" w:cstheme="minorHAnsi"/>
          <w:b/>
          <w:color w:val="3333FF"/>
          <w:sz w:val="18"/>
          <w:szCs w:val="18"/>
          <w:lang w:val="pt-BR" w:eastAsia="fr-FR"/>
        </w:rPr>
        <w:t>&lt;/ 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pt-BR"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Militaire</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 R_FOR_GENERIQ01&gt;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N</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Non Titulaire</w:t>
      </w:r>
      <w:r>
        <w:rPr>
          <w:rFonts w:asciiTheme="minorHAnsi" w:hAnsiTheme="minorHAnsi" w:cstheme="minorHAnsi"/>
          <w:b/>
          <w:color w:val="3333FF"/>
          <w:sz w:val="18"/>
          <w:szCs w:val="18"/>
          <w:lang w:val="da-DK" w:eastAsia="fr-FR"/>
        </w:rPr>
        <w:t>&lt;/ 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Non Titulaire</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O</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Ouvrier de l’Etat</w:t>
      </w:r>
      <w:r>
        <w:rPr>
          <w:rFonts w:asciiTheme="minorHAnsi" w:hAnsiTheme="minorHAnsi" w:cstheme="minorHAnsi"/>
          <w:b/>
          <w:color w:val="3333FF"/>
          <w:sz w:val="18"/>
          <w:szCs w:val="18"/>
          <w:lang w:val="da-DK" w:eastAsia="fr-FR"/>
        </w:rPr>
        <w:t>&lt;/ 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 xml:space="preserve">Ouvrier de l’Etat </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S</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Stagiaire</w:t>
      </w:r>
      <w:r>
        <w:rPr>
          <w:rFonts w:asciiTheme="minorHAnsi" w:hAnsiTheme="minorHAnsi" w:cstheme="minorHAnsi"/>
          <w:b/>
          <w:color w:val="3333FF"/>
          <w:sz w:val="18"/>
          <w:szCs w:val="18"/>
          <w:lang w:val="da-DK" w:eastAsia="fr-FR"/>
        </w:rPr>
        <w:t>&lt;/R_FOR_LIBCOU&gt;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 xml:space="preserve"> Stagiaire</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T</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pt-BR"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pt-BR" w:eastAsia="fr-FR"/>
        </w:rPr>
        <w:t>&lt;R_FOR_LIBCOU&gt;</w:t>
      </w:r>
      <w:r>
        <w:rPr>
          <w:rFonts w:asciiTheme="minorHAnsi" w:hAnsiTheme="minorHAnsi" w:cstheme="minorHAnsi"/>
          <w:b/>
          <w:color w:val="FF0000"/>
          <w:sz w:val="18"/>
          <w:szCs w:val="18"/>
          <w:lang w:val="pt-BR" w:eastAsia="fr-FR"/>
        </w:rPr>
        <w:t>Titulaire</w:t>
      </w:r>
      <w:r>
        <w:rPr>
          <w:rFonts w:asciiTheme="minorHAnsi" w:hAnsiTheme="minorHAnsi" w:cstheme="minorHAnsi"/>
          <w:b/>
          <w:color w:val="3333FF"/>
          <w:sz w:val="18"/>
          <w:szCs w:val="18"/>
          <w:lang w:val="pt-BR" w:eastAsia="fr-FR"/>
        </w:rPr>
        <w:t>&lt;/ 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pt-BR"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Titulaire</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spacing w:before="0" w:after="0" w:line="100" w:lineRule="atLeast"/>
        <w:rPr>
          <w:rFonts w:asciiTheme="minorHAnsi" w:hAnsiTheme="minorHAnsi" w:cstheme="minorHAnsi"/>
          <w:b/>
          <w:color w:val="3333FF"/>
          <w:sz w:val="18"/>
          <w:szCs w:val="18"/>
          <w:lang w:val="da-DK" w:eastAsia="fr-FR"/>
        </w:rPr>
      </w:pPr>
    </w:p>
    <w:p>
      <w:pPr>
        <w:pStyle w:val="Titre2"/>
      </w:pPr>
      <w:bookmarkStart w:id="241" w:name="_Toc20761142"/>
      <w:r>
        <w:t>Fichiers « Référentiel » produits au format 00.04.00 à la suite d’une mise à jour des référentiels de classification centraux</w:t>
      </w:r>
      <w:bookmarkEnd w:id="241"/>
    </w:p>
    <w:p>
      <w:pPr>
        <w:jc w:val="both"/>
      </w:pPr>
      <w:r>
        <w:t>Nous prenons l’exemple suivant d’actions réalisées dans la version 00.05.10 du noyau et diffusées dans un format correspondant à la 00.04.00 :</w:t>
      </w:r>
    </w:p>
    <w:p>
      <w:pPr>
        <w:numPr>
          <w:ilvl w:val="0"/>
          <w:numId w:val="203"/>
        </w:numPr>
        <w:suppressAutoHyphens w:val="0"/>
        <w:spacing w:line="240" w:lineRule="auto"/>
        <w:jc w:val="both"/>
      </w:pPr>
      <w:r>
        <w:t>le corps « C0002 » est créé au 01/01/2012</w:t>
      </w:r>
    </w:p>
    <w:p>
      <w:pPr>
        <w:numPr>
          <w:ilvl w:val="0"/>
          <w:numId w:val="203"/>
        </w:numPr>
        <w:suppressAutoHyphens w:val="0"/>
        <w:spacing w:line="240" w:lineRule="auto"/>
        <w:jc w:val="both"/>
      </w:pPr>
      <w:r>
        <w:t xml:space="preserve">le corps C0001 est éclaté en C0001 et C0002. </w:t>
      </w:r>
    </w:p>
    <w:p>
      <w:pPr>
        <w:numPr>
          <w:ilvl w:val="0"/>
          <w:numId w:val="203"/>
        </w:numPr>
        <w:suppressAutoHyphens w:val="0"/>
        <w:spacing w:line="240" w:lineRule="auto"/>
        <w:jc w:val="both"/>
      </w:pPr>
      <w:r>
        <w:t>la grille indiciaire rattachée au grade « G0010 » est modifiée</w:t>
      </w:r>
    </w:p>
    <w:p>
      <w:pPr>
        <w:numPr>
          <w:ilvl w:val="0"/>
          <w:numId w:val="203"/>
        </w:numPr>
        <w:suppressAutoHyphens w:val="0"/>
        <w:spacing w:line="240" w:lineRule="auto"/>
        <w:jc w:val="both"/>
      </w:pPr>
      <w:r>
        <w:t>Le corps « C0099 » est clôturé au 31/07/2012.</w:t>
      </w:r>
    </w:p>
    <w:p>
      <w:pPr>
        <w:suppressAutoHyphens w:val="0"/>
        <w:spacing w:line="240" w:lineRule="auto"/>
        <w:jc w:val="both"/>
      </w:pPr>
      <w:r>
        <w:t>Imaginons que seules ces 4 modifications soient diffusées.</w:t>
      </w:r>
    </w:p>
    <w:p>
      <w:pPr>
        <w:suppressAutoHyphens w:val="0"/>
        <w:spacing w:line="240" w:lineRule="auto"/>
        <w:jc w:val="both"/>
      </w:pPr>
      <w:r>
        <w:lastRenderedPageBreak/>
        <w:t>Fichier chapeau : DS100201_OGRREF01_0000001_SIR00301_chapeau.xml</w:t>
      </w:r>
    </w:p>
    <w:p>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3333FF"/>
          <w:sz w:val="18"/>
          <w:szCs w:val="18"/>
        </w:rPr>
      </w:pPr>
      <w:r>
        <w:rPr>
          <w:rFonts w:asciiTheme="minorHAnsi" w:hAnsiTheme="minorHAnsi" w:cstheme="minorHAnsi"/>
          <w:b/>
          <w:color w:val="3333FF"/>
          <w:sz w:val="18"/>
          <w:szCs w:val="18"/>
        </w:rPr>
        <w:t>&lt;RACINE&gt;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sz w:val="18"/>
          <w:szCs w:val="18"/>
        </w:rPr>
        <w:tab/>
      </w:r>
      <w:r>
        <w:rPr>
          <w:rFonts w:asciiTheme="minorHAnsi" w:hAnsiTheme="minorHAnsi" w:cstheme="minorHAnsi"/>
          <w:b/>
          <w:color w:val="3333FF"/>
          <w:sz w:val="18"/>
          <w:szCs w:val="18"/>
        </w:rPr>
        <w:t>&lt;VERSION_DIFFUSION&gt;</w:t>
      </w:r>
      <w:r>
        <w:rPr>
          <w:rFonts w:asciiTheme="minorHAnsi" w:hAnsiTheme="minorHAnsi" w:cstheme="minorHAnsi"/>
          <w:b/>
          <w:color w:val="FF0000"/>
          <w:sz w:val="18"/>
          <w:szCs w:val="18"/>
        </w:rPr>
        <w:t>00.05.10</w:t>
      </w:r>
      <w:r>
        <w:rPr>
          <w:rFonts w:asciiTheme="minorHAnsi" w:hAnsiTheme="minorHAnsi" w:cstheme="minorHAns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&lt;VERSION_FORMAT_XML &gt;</w:t>
      </w:r>
      <w:r>
        <w:rPr>
          <w:rFonts w:asciiTheme="minorHAnsi" w:hAnsiTheme="minorHAnsi" w:cstheme="minorHAnsi"/>
          <w:b/>
          <w:color w:val="FF0000"/>
          <w:sz w:val="18"/>
          <w:szCs w:val="18"/>
          <w:lang w:eastAsia="fr-FR"/>
        </w:rPr>
        <w:t>00.04.00</w:t>
      </w:r>
      <w:r>
        <w:rPr>
          <w:rFonts w:asciiTheme="minorHAnsi" w:hAnsiTheme="minorHAnsi" w:cstheme="minorHAnsi"/>
          <w:b/>
          <w:color w:val="3333FF"/>
          <w:sz w:val="18"/>
          <w:szCs w:val="18"/>
          <w:lang w:eastAsia="fr-FR"/>
        </w:rPr>
        <w:t>&lt;/VERSION_FORMAT_XML &gt;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18"/>
          <w:lang w:eastAsia="fr-FR"/>
        </w:rPr>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&lt;/ID_DIFFUSION&gt;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&lt;/ID_TRANSFERT&gt;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&lt;LISTE_CIBLE&gt;</w:t>
      </w:r>
    </w:p>
    <w:p>
      <w:pPr>
        <w:pBdr>
          <w:top w:val="single" w:sz="4" w:space="1" w:color="auto"/>
          <w:left w:val="single" w:sz="4" w:space="4" w:color="auto"/>
          <w:bottom w:val="single" w:sz="4" w:space="1" w:color="auto"/>
          <w:right w:val="single" w:sz="4" w:space="4" w:color="auto"/>
        </w:pBdr>
        <w:spacing w:before="0" w:after="0"/>
        <w:ind w:firstLine="851"/>
        <w:rPr>
          <w:rFonts w:asciiTheme="minorHAnsi" w:hAnsiTheme="minorHAnsi" w:cstheme="minorHAnsi"/>
          <w:b/>
          <w:color w:val="3333FF"/>
          <w:sz w:val="18"/>
          <w:szCs w:val="18"/>
        </w:rPr>
      </w:pPr>
      <w:r>
        <w:rPr>
          <w:rFonts w:asciiTheme="minorHAnsi" w:hAnsiTheme="minorHAnsi" w:cstheme="minorHAnsi"/>
          <w:b/>
          <w:color w:val="3333FF"/>
          <w:sz w:val="18"/>
          <w:szCs w:val="18"/>
        </w:rPr>
        <w:t xml:space="preserve"> &lt;CIBLE&gt;</w:t>
      </w:r>
      <w:r>
        <w:rPr>
          <w:rFonts w:asciiTheme="minorHAnsi" w:hAnsiTheme="minorHAnsi" w:cstheme="minorHAnsi"/>
          <w:b/>
          <w:color w:val="FF0000"/>
          <w:sz w:val="18"/>
          <w:szCs w:val="18"/>
        </w:rPr>
        <w:t xml:space="preserve"> </w:t>
      </w:r>
      <w:r>
        <w:rPr>
          <w:rFonts w:asciiTheme="minorHAnsi" w:hAnsiTheme="minorHAnsi" w:cstheme="minorHAnsi"/>
          <w:b/>
          <w:color w:val="FF0000"/>
          <w:sz w:val="18"/>
          <w:szCs w:val="18"/>
          <w:lang w:eastAsia="fr-FR"/>
        </w:rPr>
        <w:t>SIR011</w:t>
      </w:r>
      <w:r>
        <w:rPr>
          <w:rFonts w:asciiTheme="minorHAnsi" w:hAnsiTheme="minorHAnsi" w:cstheme="minorHAnsi"/>
          <w:b/>
          <w:color w:val="3333FF"/>
          <w:sz w:val="18"/>
          <w:szCs w:val="18"/>
        </w:rPr>
        <w:t>&lt;/CIBLE&gt;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&lt;/LISTE_CIBLE&gt;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&lt;DATE_DIFFUSION&gt;</w:t>
      </w:r>
      <w:r>
        <w:rPr>
          <w:rFonts w:asciiTheme="minorHAnsi" w:hAnsiTheme="minorHAnsi" w:cstheme="minorHAnsi"/>
          <w:b/>
          <w:color w:val="FF0000"/>
          <w:sz w:val="18"/>
          <w:szCs w:val="18"/>
        </w:rPr>
        <w:t>2012-01-01</w:t>
      </w:r>
      <w:r>
        <w:rPr>
          <w:rFonts w:asciiTheme="minorHAnsi" w:hAnsiTheme="minorHAnsi" w:cstheme="minorHAnsi"/>
          <w:b/>
          <w:color w:val="3333FF"/>
          <w:sz w:val="18"/>
          <w:szCs w:val="18"/>
        </w:rPr>
        <w:t>&lt;/DATE_DIFFUSION&gt;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&lt;LISTE_FICHIER&gt;</w:t>
      </w:r>
    </w:p>
    <w:p>
      <w:pPr>
        <w:pBdr>
          <w:top w:val="single" w:sz="4" w:space="1" w:color="auto"/>
          <w:left w:val="single" w:sz="4" w:space="4" w:color="auto"/>
          <w:bottom w:val="single" w:sz="4" w:space="1" w:color="auto"/>
          <w:right w:val="single" w:sz="4" w:space="4" w:color="auto"/>
        </w:pBdr>
        <w:spacing w:before="0" w:after="0"/>
        <w:ind w:firstLine="993"/>
        <w:rPr>
          <w:rFonts w:asciiTheme="minorHAnsi" w:hAnsiTheme="minorHAnsi" w:cstheme="minorHAnsi"/>
          <w:b/>
          <w:color w:val="3333FF"/>
          <w:sz w:val="18"/>
          <w:szCs w:val="18"/>
        </w:rPr>
      </w:pPr>
      <w:r>
        <w:rPr>
          <w:rFonts w:asciiTheme="minorHAnsi" w:hAnsiTheme="minorHAnsi" w:cstheme="minorHAnsi"/>
          <w:b/>
          <w:color w:val="3333FF"/>
          <w:sz w:val="18"/>
          <w:szCs w:val="18"/>
        </w:rPr>
        <w:tab/>
      </w:r>
      <w:r>
        <w:rPr>
          <w:rFonts w:asciiTheme="minorHAnsi" w:hAnsiTheme="minorHAnsi" w:cstheme="minorHAnsi"/>
          <w:b/>
          <w:color w:val="3333FF"/>
          <w:sz w:val="18"/>
          <w:szCs w:val="18"/>
        </w:rPr>
        <w:tab/>
        <w:t>&lt;FICHIER&gt;</w:t>
      </w:r>
      <w:r>
        <w:t xml:space="preserve"> </w:t>
      </w:r>
      <w:r>
        <w:rPr>
          <w:rFonts w:asciiTheme="minorHAnsi" w:hAnsiTheme="minorHAnsi" w:cstheme="minorHAnsi"/>
          <w:b/>
          <w:bCs/>
          <w:color w:val="FF0000"/>
          <w:sz w:val="18"/>
          <w:szCs w:val="18"/>
        </w:rPr>
        <w:t xml:space="preserve">INGRES_D_V00.05.10_F00.04.00_P00_CORPS_00024.xml </w:t>
      </w:r>
      <w:r>
        <w:rPr>
          <w:rFonts w:asciiTheme="minorHAnsi" w:hAnsiTheme="minorHAnsi" w:cstheme="minorHAnsi"/>
          <w:b/>
          <w:color w:val="3333FF"/>
          <w:sz w:val="18"/>
          <w:szCs w:val="18"/>
        </w:rPr>
        <w:t>&lt;/FICHIER&gt;</w:t>
      </w:r>
    </w:p>
    <w:p>
      <w:pPr>
        <w:pBdr>
          <w:top w:val="single" w:sz="4" w:space="1" w:color="auto"/>
          <w:left w:val="single" w:sz="4" w:space="4" w:color="auto"/>
          <w:bottom w:val="single" w:sz="4" w:space="1" w:color="auto"/>
          <w:right w:val="single" w:sz="4" w:space="4" w:color="auto"/>
        </w:pBdr>
        <w:spacing w:before="0" w:after="0"/>
        <w:ind w:firstLine="993"/>
        <w:rPr>
          <w:rFonts w:asciiTheme="minorHAnsi" w:hAnsiTheme="minorHAnsi" w:cstheme="minorHAnsi"/>
          <w:b/>
          <w:color w:val="3333FF"/>
          <w:sz w:val="18"/>
          <w:szCs w:val="18"/>
        </w:rPr>
      </w:pPr>
      <w:r>
        <w:rPr>
          <w:rFonts w:asciiTheme="minorHAnsi" w:hAnsiTheme="minorHAnsi" w:cstheme="minorHAnsi"/>
          <w:b/>
          <w:color w:val="3333FF"/>
          <w:sz w:val="18"/>
          <w:szCs w:val="18"/>
        </w:rPr>
        <w:tab/>
      </w:r>
      <w:r>
        <w:rPr>
          <w:rFonts w:asciiTheme="minorHAnsi" w:hAnsiTheme="minorHAnsi" w:cstheme="minorHAnsi"/>
          <w:b/>
          <w:color w:val="3333FF"/>
          <w:sz w:val="18"/>
          <w:szCs w:val="18"/>
        </w:rPr>
        <w:tab/>
        <w:t>&lt;FICHIER&gt;</w:t>
      </w:r>
      <w:r>
        <w:t xml:space="preserve"> </w:t>
      </w:r>
      <w:r>
        <w:rPr>
          <w:rFonts w:asciiTheme="minorHAnsi" w:hAnsiTheme="minorHAnsi" w:cstheme="minorHAnsi"/>
          <w:b/>
          <w:bCs/>
          <w:color w:val="FF0000"/>
          <w:sz w:val="18"/>
          <w:szCs w:val="18"/>
        </w:rPr>
        <w:t xml:space="preserve">INGRES_D_ V00.05.10_F00.04.00_P00_GRADE_00030.xml </w:t>
      </w:r>
      <w:r>
        <w:rPr>
          <w:rFonts w:asciiTheme="minorHAnsi" w:hAnsiTheme="minorHAnsi" w:cstheme="minorHAnsi"/>
          <w:b/>
          <w:color w:val="3333FF"/>
          <w:sz w:val="18"/>
          <w:szCs w:val="18"/>
        </w:rPr>
        <w:t>&lt;/FICHIER&gt;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&lt;/LISTE_FICHIER&gt;</w:t>
      </w:r>
    </w:p>
    <w:p>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3333FF"/>
          <w:sz w:val="18"/>
          <w:szCs w:val="18"/>
        </w:rPr>
      </w:pPr>
      <w:r>
        <w:rPr>
          <w:rFonts w:asciiTheme="minorHAnsi" w:hAnsiTheme="minorHAnsi" w:cstheme="minorHAnsi"/>
          <w:b/>
          <w:color w:val="3333FF"/>
          <w:sz w:val="18"/>
          <w:szCs w:val="18"/>
        </w:rPr>
        <w:t>&lt;/RACINE&gt;</w:t>
      </w:r>
    </w:p>
    <w:p>
      <w:pPr>
        <w:suppressAutoHyphens w:val="0"/>
        <w:spacing w:line="240" w:lineRule="auto"/>
        <w:jc w:val="both"/>
      </w:pPr>
    </w:p>
    <w:p>
      <w:pPr>
        <w:suppressAutoHyphens w:val="0"/>
        <w:spacing w:line="240" w:lineRule="auto"/>
        <w:jc w:val="both"/>
      </w:pPr>
      <w:r>
        <w:t>Fichier référentiel : INGRES_D_ V00.05.10_F00.04.00_P00_CORPS_00024.xml</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&lt;ENTETE&gt;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sz w:val="18"/>
          <w:szCs w:val="18"/>
        </w:rPr>
        <w:tab/>
      </w:r>
      <w:r>
        <w:rPr>
          <w:rFonts w:ascii="Calibri" w:hAnsi="Calibri"/>
          <w:b/>
          <w:color w:val="3333FF"/>
          <w:sz w:val="18"/>
          <w:szCs w:val="18"/>
        </w:rPr>
        <w:t>&lt;VERSION_DIFFUSION&gt;</w:t>
      </w:r>
      <w:r>
        <w:rPr>
          <w:rFonts w:asciiTheme="minorHAnsi" w:hAnsiTheme="minorHAnsi" w:cstheme="minorHAnsi"/>
          <w:b/>
          <w:color w:val="FF0000"/>
          <w:sz w:val="18"/>
          <w:szCs w:val="18"/>
        </w:rPr>
        <w:t>00.05.10</w:t>
      </w:r>
      <w:r>
        <w:rPr>
          <w:rFonts w:ascii="Calibri" w:hAnsi="Calibr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 VERSION_FORMAT_XML &gt;</w:t>
      </w:r>
      <w:r>
        <w:rPr>
          <w:rFonts w:ascii="Calibri" w:hAnsi="Calibri"/>
          <w:b/>
          <w:color w:val="FF0000"/>
          <w:sz w:val="18"/>
          <w:szCs w:val="18"/>
        </w:rPr>
        <w:t>00.04.00</w:t>
      </w:r>
      <w:r>
        <w:rPr>
          <w:rFonts w:ascii="Calibri" w:hAnsi="Calibri"/>
          <w:b/>
          <w:color w:val="3333FF"/>
          <w:sz w:val="18"/>
          <w:szCs w:val="18"/>
        </w:rPr>
        <w:t>&lt;/VERSION_FORMAT_XML &gt;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&lt;ID_DIFFUSION&gt;</w:t>
      </w:r>
      <w:r>
        <w:rPr>
          <w:rFonts w:ascii="Calibri" w:hAnsi="Calibri"/>
          <w:b/>
          <w:color w:val="FF0000"/>
          <w:sz w:val="18"/>
          <w:szCs w:val="18"/>
        </w:rPr>
        <w:t>0000001</w:t>
      </w:r>
      <w:r>
        <w:rPr>
          <w:rFonts w:ascii="Calibri" w:hAnsi="Calibri"/>
          <w:b/>
          <w:color w:val="3333FF"/>
          <w:sz w:val="18"/>
          <w:szCs w:val="18"/>
        </w:rPr>
        <w:t>&lt;/ID_DIFFUSION&gt;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ab/>
        <w:t>&lt;ID_TRANSFERT&gt;</w:t>
      </w:r>
      <w:r>
        <w:rPr>
          <w:rFonts w:ascii="Calibri" w:hAnsi="Calibri"/>
          <w:b/>
          <w:color w:val="FF0000"/>
          <w:sz w:val="18"/>
          <w:szCs w:val="18"/>
        </w:rPr>
        <w:t>0000002</w:t>
      </w:r>
      <w:r>
        <w:rPr>
          <w:rFonts w:ascii="Calibri" w:hAnsi="Calibri"/>
          <w:b/>
          <w:color w:val="3333FF"/>
          <w:sz w:val="18"/>
          <w:szCs w:val="18"/>
        </w:rPr>
        <w:t>&lt;/ID_TRANSFERT&gt;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&lt;ID_REF&gt;</w:t>
      </w:r>
      <w:r>
        <w:rPr>
          <w:rFonts w:ascii="Calibri" w:hAnsi="Calibri"/>
          <w:b/>
          <w:color w:val="FF0000"/>
          <w:sz w:val="18"/>
          <w:szCs w:val="18"/>
        </w:rPr>
        <w:t>CORPS</w:t>
      </w:r>
      <w:r>
        <w:rPr>
          <w:rFonts w:ascii="Calibri" w:hAnsi="Calibri"/>
          <w:b/>
          <w:color w:val="3333FF"/>
          <w:sz w:val="18"/>
          <w:szCs w:val="18"/>
        </w:rPr>
        <w:t>&lt;/ID_REF&gt;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&lt;MODE_MAJ&gt;</w:t>
      </w:r>
      <w:r>
        <w:rPr>
          <w:rFonts w:ascii="Calibri" w:hAnsi="Calibri"/>
          <w:b/>
          <w:color w:val="FF0000"/>
          <w:sz w:val="18"/>
          <w:szCs w:val="18"/>
        </w:rPr>
        <w:t>D</w:t>
      </w:r>
      <w:r>
        <w:rPr>
          <w:rFonts w:ascii="Calibri" w:hAnsi="Calibri"/>
          <w:b/>
          <w:color w:val="3333FF"/>
          <w:sz w:val="18"/>
          <w:szCs w:val="18"/>
        </w:rPr>
        <w:t>&lt;/MODE_MAJ&gt;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noProof/>
          <w:color w:val="3333FF"/>
          <w:sz w:val="18"/>
          <w:szCs w:val="18"/>
          <w:lang w:eastAsia="fr-FR"/>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-3175</wp:posOffset>
                </wp:positionV>
                <wp:extent cx="1828800" cy="1087755"/>
                <wp:effectExtent l="9525" t="10160" r="9525" b="698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87755"/>
                        </a:xfrm>
                        <a:prstGeom prst="rect">
                          <a:avLst/>
                        </a:prstGeom>
                        <a:solidFill>
                          <a:srgbClr val="FFFFFF"/>
                        </a:solidFill>
                        <a:ln w="9525">
                          <a:solidFill>
                            <a:srgbClr val="000000"/>
                          </a:solidFill>
                          <a:miter lim="800000"/>
                          <a:headEnd/>
                          <a:tailEnd/>
                        </a:ln>
                      </wps:spPr>
                      <wps:txbx>
                        <w:txbxContent>
                          <w:p>
                            <w:r>
                              <w:t xml:space="preserve">Mise à jour du corps C0001 suite à l’éclatement de C0001 en C0001 et C0002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CA1B" id="Zone de texte 27" o:spid="_x0000_s1027" type="#_x0000_t202" style="position:absolute;left:0;text-align:left;margin-left:4in;margin-top:-.25pt;width:2in;height:8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">
                <v:textbox>
                  <w:txbxContent>
                    <w:p w:rsidR="00FA450F" w:rsidRDefault="00FA450F" w:rsidP="007816AF">
                      <w:r>
                        <w:t xml:space="preserve">Mise à jour du corps C0001 suite à l’éclatement de C0001 en C0001 et C0002 </w:t>
                      </w:r>
                    </w:p>
                  </w:txbxContent>
                </v:textbox>
              </v:shape>
            </w:pict>
          </mc:Fallback>
        </mc:AlternateContent>
      </w:r>
      <w:r>
        <w:rPr>
          <w:rFonts w:ascii="Calibri" w:hAnsi="Calibri"/>
          <w:b/>
          <w:color w:val="3333FF"/>
          <w:sz w:val="18"/>
          <w:szCs w:val="18"/>
        </w:rPr>
        <w:t>&lt;NB_SIT_NOM&gt;</w:t>
      </w:r>
      <w:r>
        <w:rPr>
          <w:rFonts w:ascii="Calibri" w:hAnsi="Calibri"/>
          <w:b/>
          <w:color w:val="FF0000"/>
          <w:sz w:val="18"/>
          <w:szCs w:val="18"/>
        </w:rPr>
        <w:t>4</w:t>
      </w:r>
      <w:r>
        <w:rPr>
          <w:rFonts w:ascii="Calibri" w:hAnsi="Calibri"/>
          <w:b/>
          <w:color w:val="3333FF"/>
          <w:sz w:val="18"/>
          <w:szCs w:val="18"/>
        </w:rPr>
        <w:t>&lt;/NB_SIT_NOM&gt;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lang w:val="da-DK"/>
        </w:rPr>
      </w:pPr>
      <w:r>
        <w:rPr>
          <w:rFonts w:ascii="Calibri" w:hAnsi="Calibri"/>
          <w:b/>
          <w:color w:val="3333FF"/>
          <w:sz w:val="18"/>
          <w:szCs w:val="18"/>
          <w:lang w:val="da-DK"/>
        </w:rPr>
        <w:t>&lt;/ENTETE&gt;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lang w:val="da-DK"/>
        </w:rPr>
      </w:pPr>
      <w:r>
        <w:rPr>
          <w:rFonts w:ascii="Calibri" w:hAnsi="Calibri"/>
          <w:b/>
          <w:color w:val="3333FF"/>
          <w:sz w:val="18"/>
          <w:szCs w:val="18"/>
          <w:lang w:val="da-DK"/>
        </w:rPr>
        <w:t>&lt;DONNEES_MAJ&gt;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lang w:val="da-DK"/>
        </w:rPr>
        <w:tab/>
      </w:r>
      <w:r>
        <w:rPr>
          <w:rFonts w:ascii="Calibri" w:hAnsi="Calibri"/>
          <w:b/>
          <w:color w:val="3333FF"/>
          <w:sz w:val="18"/>
          <w:szCs w:val="18"/>
        </w:rPr>
        <w:t>&lt;R_</w:t>
      </w:r>
      <w:r>
        <w:rPr>
          <w:rFonts w:ascii="Calibri" w:hAnsi="Calibri"/>
          <w:b/>
          <w:bCs/>
          <w:color w:val="0000FF"/>
          <w:sz w:val="18"/>
          <w:szCs w:val="18"/>
        </w:rPr>
        <w:t>CORPS</w:t>
      </w:r>
      <w:r>
        <w:rPr>
          <w:rFonts w:ascii="Calibri" w:hAnsi="Calibri"/>
          <w:b/>
          <w:color w:val="3333FF"/>
          <w:sz w:val="18"/>
          <w:szCs w:val="18"/>
        </w:rPr>
        <w: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rPr>
        <w:tab/>
      </w:r>
      <w:r>
        <w:rPr>
          <w:rFonts w:ascii="Calibri" w:hAnsi="Calibri"/>
          <w:b/>
          <w:color w:val="3333FF"/>
          <w:sz w:val="18"/>
          <w:szCs w:val="18"/>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da-DK"/>
        </w:rPr>
      </w:pPr>
      <w:r>
        <w:rPr>
          <w:rFonts w:ascii="Calibri" w:hAnsi="Calibri"/>
          <w:b/>
          <w:color w:val="3333FF"/>
          <w:sz w:val="18"/>
          <w:szCs w:val="18"/>
          <w:lang w:val="da-DK"/>
        </w:rPr>
        <w:t xml:space="preserve"> &lt;R_FOR_IDEN05&gt;</w:t>
      </w:r>
      <w:r>
        <w:rPr>
          <w:rFonts w:ascii="Calibri" w:hAnsi="Calibri"/>
          <w:b/>
          <w:color w:val="FF0000"/>
          <w:sz w:val="18"/>
          <w:szCs w:val="18"/>
          <w:lang w:val="da-DK"/>
        </w:rPr>
        <w:t>C0001</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2010-01-01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da-DK"/>
        </w:rPr>
      </w:pPr>
      <w:r>
        <w:rPr>
          <w:rFonts w:ascii="Calibri" w:hAnsi="Calibri"/>
          <w:b/>
          <w:color w:val="3333FF"/>
          <w:sz w:val="18"/>
          <w:szCs w:val="18"/>
          <w:lang w:val="da-DK"/>
        </w:rPr>
        <w:t>&lt;R_FOR_DATFIN&gt;&lt;/R_FOR_DATFIN&gt;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&lt;R_FOR_LIBCOU&gt;</w:t>
      </w:r>
      <w:r>
        <w:rPr>
          <w:rFonts w:ascii="Calibri" w:hAnsi="Calibri"/>
          <w:b/>
          <w:color w:val="FF0000"/>
          <w:sz w:val="18"/>
          <w:szCs w:val="18"/>
          <w:lang w:val="pt-BR"/>
        </w:rPr>
        <w:t>Corps 1</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&lt;R_FOR_LIBLON&gt;</w:t>
      </w:r>
      <w:r>
        <w:rPr>
          <w:rFonts w:ascii="Calibri" w:hAnsi="Calibri"/>
          <w:b/>
          <w:color w:val="FF0000"/>
          <w:sz w:val="18"/>
          <w:szCs w:val="18"/>
          <w:lang w:val="pt-BR"/>
        </w:rPr>
        <w:t xml:space="preserve"> Corps exemple 1</w:t>
      </w:r>
      <w:r>
        <w:rPr>
          <w:rFonts w:ascii="Calibri" w:hAnsi="Calibri"/>
          <w:b/>
          <w:color w:val="3333FF"/>
          <w:sz w:val="18"/>
          <w:szCs w:val="18"/>
          <w:lang w:val="pt-BR"/>
        </w:rPr>
        <w:t>&lt;/R_FOR_LIBLON&gt;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&lt;R_FOR_LIBIMP&gt;</w:t>
      </w:r>
      <w:r>
        <w:rPr>
          <w:rFonts w:ascii="Calibri" w:hAnsi="Calibri"/>
          <w:b/>
          <w:color w:val="FF0000"/>
          <w:sz w:val="18"/>
          <w:szCs w:val="18"/>
          <w:lang w:val="pt-BR"/>
        </w:rPr>
        <w:t xml:space="preserve"> Corps exemple 1</w:t>
      </w:r>
      <w:r>
        <w:rPr>
          <w:rFonts w:ascii="Calibri" w:hAnsi="Calibri"/>
          <w:b/>
          <w:color w:val="3333FF"/>
          <w:sz w:val="18"/>
          <w:szCs w:val="18"/>
          <w:lang w:val="pt-BR"/>
        </w:rPr>
        <w:t>&lt;/R_FOR_LIBIMP&gt;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&lt;R_REL_CATEGO&gt;</w:t>
      </w:r>
      <w:r>
        <w:rPr>
          <w:rFonts w:ascii="Calibri" w:hAnsi="Calibri"/>
          <w:b/>
          <w:color w:val="FF0000"/>
          <w:sz w:val="18"/>
          <w:szCs w:val="18"/>
          <w:lang w:val="pt-BR"/>
        </w:rPr>
        <w:t>3</w:t>
      </w:r>
      <w:r>
        <w:rPr>
          <w:rFonts w:ascii="Calibri" w:hAnsi="Calibri"/>
          <w:b/>
          <w:color w:val="3333FF"/>
          <w:sz w:val="18"/>
          <w:szCs w:val="18"/>
          <w:lang w:val="pt-BR"/>
        </w:rPr>
        <w:t>&lt;/R_REL_CATEGO&gt;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&lt;R_REL_FILIER&gt;</w:t>
      </w:r>
      <w:r>
        <w:rPr>
          <w:rFonts w:ascii="Calibri" w:hAnsi="Calibri"/>
          <w:b/>
          <w:color w:val="FF0000"/>
          <w:sz w:val="18"/>
          <w:szCs w:val="18"/>
          <w:lang w:val="pt-BR"/>
        </w:rPr>
        <w:t>FIL1</w:t>
      </w:r>
      <w:r>
        <w:rPr>
          <w:rFonts w:ascii="Calibri" w:hAnsi="Calibri"/>
          <w:b/>
          <w:color w:val="3333FF"/>
          <w:sz w:val="18"/>
          <w:szCs w:val="18"/>
          <w:lang w:val="pt-BR"/>
        </w:rPr>
        <w:t>&lt;/R_REL_FILIER&gt;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&lt;R_REL_SSCATE&gt;</w:t>
      </w:r>
      <w:r>
        <w:rPr>
          <w:rFonts w:ascii="Calibri" w:hAnsi="Calibri"/>
          <w:b/>
          <w:color w:val="FF0000"/>
          <w:sz w:val="18"/>
          <w:szCs w:val="18"/>
          <w:lang w:val="pt-BR"/>
        </w:rPr>
        <w:t>1</w:t>
      </w:r>
      <w:r>
        <w:rPr>
          <w:rFonts w:ascii="Calibri" w:hAnsi="Calibri"/>
          <w:b/>
          <w:color w:val="3333FF"/>
          <w:sz w:val="18"/>
          <w:szCs w:val="18"/>
          <w:lang w:val="pt-BR"/>
        </w:rPr>
        <w:t>&lt;/R_REL_SSCATE&gt;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&lt;R_REL_NACORP&gt;</w:t>
      </w:r>
      <w:r>
        <w:rPr>
          <w:rFonts w:ascii="Calibri" w:hAnsi="Calibri"/>
          <w:b/>
          <w:color w:val="FF0000"/>
          <w:sz w:val="18"/>
          <w:szCs w:val="18"/>
          <w:lang w:val="pt-BR"/>
        </w:rPr>
        <w:t>2</w:t>
      </w:r>
      <w:r>
        <w:rPr>
          <w:rFonts w:ascii="Calibri" w:hAnsi="Calibri"/>
          <w:b/>
          <w:color w:val="3333FF"/>
          <w:sz w:val="18"/>
          <w:szCs w:val="18"/>
          <w:lang w:val="pt-BR"/>
        </w:rPr>
        <w:t>&lt;/R_REL_NACORP&gt;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&lt;R_ADM_COREXT&gt;</w:t>
      </w:r>
      <w:r>
        <w:rPr>
          <w:rFonts w:ascii="Calibri" w:hAnsi="Calibri"/>
          <w:b/>
          <w:color w:val="FF0000"/>
          <w:sz w:val="18"/>
          <w:szCs w:val="18"/>
          <w:lang w:val="pt-BR"/>
        </w:rPr>
        <w:t>0</w:t>
      </w:r>
      <w:r>
        <w:rPr>
          <w:rFonts w:ascii="Calibri" w:hAnsi="Calibri"/>
          <w:b/>
          <w:color w:val="3333FF"/>
          <w:sz w:val="18"/>
          <w:szCs w:val="18"/>
          <w:lang w:val="pt-BR"/>
        </w:rPr>
        <w:t>&lt;/R_ADM_COREXT&gt;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&lt;R_REL_NIVDIP&gt;</w:t>
      </w:r>
      <w:r>
        <w:rPr>
          <w:rFonts w:ascii="Calibri" w:hAnsi="Calibri"/>
          <w:b/>
          <w:color w:val="FF0000"/>
          <w:sz w:val="18"/>
          <w:szCs w:val="18"/>
          <w:lang w:val="pt-BR"/>
        </w:rPr>
        <w:t>1</w:t>
      </w:r>
      <w:r>
        <w:rPr>
          <w:rFonts w:ascii="Calibri" w:hAnsi="Calibri"/>
          <w:b/>
          <w:color w:val="3333FF"/>
          <w:sz w:val="18"/>
          <w:szCs w:val="18"/>
          <w:lang w:val="pt-BR"/>
        </w:rPr>
        <w:t>&lt;/R_REL_NIVDIP&gt;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93056" behindDoc="0" locked="0" layoutInCell="1" allowOverlap="1">
                <wp:simplePos x="0" y="0"/>
                <wp:positionH relativeFrom="column">
                  <wp:posOffset>3220943</wp:posOffset>
                </wp:positionH>
                <wp:positionV relativeFrom="paragraph">
                  <wp:posOffset>42058</wp:posOffset>
                </wp:positionV>
                <wp:extent cx="3051571" cy="498764"/>
                <wp:effectExtent l="0" t="0" r="0"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571" cy="498764"/>
                        </a:xfrm>
                        <a:prstGeom prst="rect">
                          <a:avLst/>
                        </a:prstGeom>
                        <a:noFill/>
                        <a:ln w="9525">
                          <a:noFill/>
                          <a:miter lim="800000"/>
                          <a:headEnd/>
                          <a:tailEnd/>
                        </a:ln>
                      </wps:spPr>
                      <wps:txbx>
                        <w:txbxContent>
                          <w:p>
                            <w:pPr>
                              <w:rPr>
                                <w:b/>
                                <w:color w:val="17365D" w:themeColor="text2" w:themeShade="BF"/>
                              </w:rPr>
                            </w:pPr>
                            <w:r>
                              <w:rPr>
                                <w:b/>
                                <w:color w:val="17365D" w:themeColor="text2" w:themeShade="BF"/>
                              </w:rPr>
                              <w:t>Attributs issus des tables de lien ou des nomenclatures matérialisant le chaînage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C1F87" id="Zone de texte 56" o:spid="_x0000_s1028" type="#_x0000_t202" style="position:absolute;left:0;text-align:left;margin-left:253.6pt;margin-top:3.3pt;width:240.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" filled="f" stroked="f">
                <v:textbox>
                  <w:txbxContent>
                    <w:p w:rsidR="00FA450F" w:rsidRPr="00D53C1C" w:rsidRDefault="00FA450F" w:rsidP="00D53C1C">
                      <w:pPr>
                        <w:rPr>
                          <w:b/>
                          <w:color w:val="17365D" w:themeColor="text2" w:themeShade="BF"/>
                        </w:rPr>
                      </w:pPr>
                      <w:r w:rsidRPr="00D53C1C">
                        <w:rPr>
                          <w:b/>
                          <w:color w:val="17365D" w:themeColor="text2" w:themeShade="BF"/>
                        </w:rPr>
                        <w:t xml:space="preserve">Attributs issus des </w:t>
                      </w:r>
                      <w:r>
                        <w:rPr>
                          <w:b/>
                          <w:color w:val="17365D" w:themeColor="text2" w:themeShade="BF"/>
                        </w:rPr>
                        <w:t>tables de lien ou des</w:t>
                      </w:r>
                      <w:r w:rsidRPr="00D53C1C">
                        <w:rPr>
                          <w:b/>
                          <w:color w:val="17365D" w:themeColor="text2" w:themeShade="BF"/>
                        </w:rPr>
                        <w:t xml:space="preserve"> nomenclatures matérialisant le chaînage</w:t>
                      </w:r>
                    </w:p>
                  </w:txbxContent>
                </v:textbox>
              </v:shape>
            </w:pict>
          </mc:Fallback>
        </mc:AlternateContent>
      </w:r>
      <w:r>
        <w:rPr>
          <w:rFonts w:ascii="Calibri" w:hAnsi="Calibri"/>
          <w:b/>
          <w:color w:val="3333FF"/>
          <w:sz w:val="18"/>
          <w:szCs w:val="18"/>
          <w:lang w:val="pt-BR"/>
        </w:rPr>
        <w:t>&lt;R_ADM_CORNBG&gt;</w:t>
      </w:r>
      <w:r>
        <w:rPr>
          <w:rFonts w:ascii="Calibri" w:hAnsi="Calibri"/>
          <w:b/>
          <w:color w:val="FF0000"/>
          <w:sz w:val="18"/>
          <w:szCs w:val="18"/>
          <w:lang w:val="pt-BR"/>
        </w:rPr>
        <w:t>2</w:t>
      </w:r>
      <w:r>
        <w:rPr>
          <w:rFonts w:ascii="Calibri" w:hAnsi="Calibri"/>
          <w:b/>
          <w:color w:val="3333FF"/>
          <w:sz w:val="18"/>
          <w:szCs w:val="18"/>
          <w:lang w:val="pt-BR"/>
        </w:rPr>
        <w:t>&lt;/R_ADM_CORNBG&gt;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&lt;R_REL_MINIST&gt;</w:t>
      </w:r>
      <w:r>
        <w:rPr>
          <w:rFonts w:ascii="Calibri" w:hAnsi="Calibri"/>
          <w:b/>
          <w:color w:val="FF0000"/>
          <w:sz w:val="18"/>
          <w:szCs w:val="18"/>
          <w:lang w:val="pt-BR"/>
        </w:rPr>
        <w:t>MI130</w:t>
      </w:r>
      <w:r>
        <w:rPr>
          <w:rFonts w:ascii="Calibri" w:hAnsi="Calibri"/>
          <w:b/>
          <w:color w:val="3333FF"/>
          <w:sz w:val="18"/>
          <w:szCs w:val="18"/>
          <w:lang w:val="pt-BR"/>
        </w:rPr>
        <w:t>&lt;/R_REL_MINIST&gt;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&lt;R_REL_POPCLA&gt;</w:t>
      </w:r>
      <w:r>
        <w:rPr>
          <w:rFonts w:ascii="Calibri" w:hAnsi="Calibri"/>
          <w:b/>
          <w:color w:val="FF0000"/>
          <w:sz w:val="18"/>
          <w:szCs w:val="18"/>
          <w:lang w:val="pt-BR"/>
        </w:rPr>
        <w:t>3</w:t>
      </w:r>
      <w:r>
        <w:rPr>
          <w:rFonts w:ascii="Calibri" w:hAnsi="Calibri"/>
          <w:b/>
          <w:color w:val="3333FF"/>
          <w:sz w:val="18"/>
          <w:szCs w:val="18"/>
          <w:lang w:val="pt-BR"/>
        </w:rPr>
        <w:t>&lt;/R_REL_POPCLA&gt;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69504" behindDoc="0" locked="0" layoutInCell="1" allowOverlap="1">
                <wp:simplePos x="0" y="0"/>
                <wp:positionH relativeFrom="column">
                  <wp:posOffset>4170680</wp:posOffset>
                </wp:positionH>
                <wp:positionV relativeFrom="paragraph">
                  <wp:posOffset>-25210</wp:posOffset>
                </wp:positionV>
                <wp:extent cx="1318161" cy="342900"/>
                <wp:effectExtent l="0" t="0" r="0" b="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161" cy="342900"/>
                        </a:xfrm>
                        <a:prstGeom prst="rect">
                          <a:avLst/>
                        </a:prstGeom>
                        <a:noFill/>
                        <a:ln w="9525">
                          <a:noFill/>
                          <a:miter lim="800000"/>
                          <a:headEnd/>
                          <a:tailEnd/>
                        </a:ln>
                      </wps:spPr>
                      <wps:txbx>
                        <w:txbxContent>
                          <w:p>
                            <w:pPr>
                              <w:rPr>
                                <w:color w:val="17365D" w:themeColor="text2" w:themeShade="BF"/>
                              </w:rPr>
                            </w:pPr>
                            <w:r>
                              <w:rPr>
                                <w:color w:val="17365D" w:themeColor="text2" w:themeShade="BF"/>
                              </w:rPr>
                              <w:t>Corps antérieur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638D" id="Zone de texte 44" o:spid="_x0000_s1029" type="#_x0000_t202" style="position:absolute;left:0;text-align:left;margin-left:328.4pt;margin-top:-2pt;width:103.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" filled="f" stroked="f">
                <v:textbox>
                  <w:txbxContent>
                    <w:p w:rsidR="00FA450F" w:rsidRPr="003B6FE9" w:rsidRDefault="00FA450F" w:rsidP="003B6FE9">
                      <w:pPr>
                        <w:rPr>
                          <w:color w:val="17365D" w:themeColor="text2" w:themeShade="BF"/>
                        </w:rPr>
                      </w:pPr>
                      <w:r w:rsidRPr="003B6FE9">
                        <w:rPr>
                          <w:color w:val="17365D" w:themeColor="text2" w:themeShade="BF"/>
                        </w:rPr>
                        <w:t>Corps antérieur</w:t>
                      </w:r>
                    </w:p>
                  </w:txbxContent>
                </v:textbox>
              </v:shape>
            </w:pict>
          </mc:Fallback>
        </mc:AlternateContent>
      </w:r>
      <w:r>
        <w:rPr>
          <w:rFonts w:ascii="Calibri" w:hAnsi="Calibri"/>
          <w:b/>
          <w:color w:val="3333FF"/>
          <w:sz w:val="18"/>
          <w:szCs w:val="18"/>
          <w:lang w:val="pt-BR"/>
        </w:rPr>
        <w:t>&lt;R_REL_NAFNPU&gt;</w:t>
      </w:r>
      <w:r>
        <w:rPr>
          <w:rFonts w:ascii="Calibri" w:hAnsi="Calibri"/>
          <w:b/>
          <w:color w:val="FF0000"/>
          <w:sz w:val="18"/>
          <w:szCs w:val="18"/>
          <w:lang w:val="pt-BR"/>
        </w:rPr>
        <w:t>1</w:t>
      </w:r>
      <w:r>
        <w:rPr>
          <w:rFonts w:ascii="Calibri" w:hAnsi="Calibri"/>
          <w:b/>
          <w:color w:val="3333FF"/>
          <w:sz w:val="18"/>
          <w:szCs w:val="18"/>
          <w:lang w:val="pt-BR"/>
        </w:rPr>
        <w:t>&lt;/R_REL_NAFNPU&gt;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w:lastRenderedPageBreak/>
        <mc:AlternateContent>
          <mc:Choice Requires="wps">
            <w:drawing>
              <wp:anchor distT="0" distB="0" distL="114300" distR="114300" simplePos="0" relativeHeight="251674624" behindDoc="0" locked="0" layoutInCell="1" allowOverlap="1">
                <wp:simplePos x="0" y="0"/>
                <wp:positionH relativeFrom="column">
                  <wp:posOffset>4164775</wp:posOffset>
                </wp:positionH>
                <wp:positionV relativeFrom="paragraph">
                  <wp:posOffset>-24765</wp:posOffset>
                </wp:positionV>
                <wp:extent cx="1317625" cy="342900"/>
                <wp:effectExtent l="0" t="0" r="0" b="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r>
                              <w:rPr>
                                <w:color w:val="17365D" w:themeColor="text2" w:themeShade="BF"/>
                              </w:rPr>
                              <w:t>Corps successeur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9FA00" id="Zone de texte 46" o:spid="_x0000_s1030" type="#_x0000_t202" style="position:absolute;left:0;text-align:left;margin-left:327.95pt;margin-top:-1.95pt;width:103.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successeur</w:t>
                      </w:r>
                    </w:p>
                  </w:txbxContent>
                </v:textbox>
              </v:shape>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73600" behindDoc="0" locked="0" layoutInCell="1" allowOverlap="1">
                <wp:simplePos x="0" y="0"/>
                <wp:positionH relativeFrom="column">
                  <wp:posOffset>3422650</wp:posOffset>
                </wp:positionH>
                <wp:positionV relativeFrom="paragraph">
                  <wp:posOffset>21145</wp:posOffset>
                </wp:positionV>
                <wp:extent cx="605642" cy="59377"/>
                <wp:effectExtent l="0" t="0" r="23495" b="17145"/>
                <wp:wrapNone/>
                <wp:docPr id="43" name="Flèche gauche 43"/>
                <wp:cNvGraphicFramePr/>
                <a:graphic xmlns:a="http://schemas.openxmlformats.org/drawingml/2006/main">
                  <a:graphicData uri="http://schemas.microsoft.com/office/word/2010/wordprocessingShape">
                    <wps:wsp>
                      <wps:cNvSpPr/>
                      <wps:spPr>
                        <a:xfrm>
                          <a:off x="0" y="0"/>
                          <a:ext cx="605642" cy="5937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451D9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43" o:spid="_x0000_s1026" type="#_x0000_t66" style="position:absolute;margin-left:269.5pt;margin-top:1.65pt;width:47.7pt;height:4.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" adj="1059" fillcolor="#4f81bd [3204]" strokecolor="#243f60 [1604]" strokeweight="2pt"/>
            </w:pict>
          </mc:Fallback>
        </mc:AlternateContent>
      </w:r>
      <w:r>
        <w:rPr>
          <w:rFonts w:ascii="Calibri" w:hAnsi="Calibri"/>
          <w:b/>
          <w:color w:val="3333FF"/>
          <w:sz w:val="18"/>
          <w:szCs w:val="18"/>
          <w:lang w:val="pt-BR"/>
        </w:rPr>
        <w:t>&lt;R_REL_COANTE&gt;&lt;/R_REL_COANTE&gt;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80768" behindDoc="0" locked="0" layoutInCell="1" allowOverlap="1">
                <wp:simplePos x="0" y="0"/>
                <wp:positionH relativeFrom="column">
                  <wp:posOffset>4184650</wp:posOffset>
                </wp:positionH>
                <wp:positionV relativeFrom="paragraph">
                  <wp:posOffset>-17970</wp:posOffset>
                </wp:positionV>
                <wp:extent cx="1317625" cy="342900"/>
                <wp:effectExtent l="0" t="0" r="0" b="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r>
                              <w:rPr>
                                <w:color w:val="17365D" w:themeColor="text2" w:themeShade="BF"/>
                              </w:rPr>
                              <w:t>Corps débouché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7793" id="Zone de texte 50" o:spid="_x0000_s1031" type="#_x0000_t202" style="position:absolute;left:0;text-align:left;margin-left:329.5pt;margin-top:-1.4pt;width:103.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débouché</w:t>
                      </w:r>
                    </w:p>
                  </w:txbxContent>
                </v:textbox>
              </v:shape>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71552" behindDoc="0" locked="0" layoutInCell="1" allowOverlap="1">
                <wp:simplePos x="0" y="0"/>
                <wp:positionH relativeFrom="column">
                  <wp:posOffset>3430460</wp:posOffset>
                </wp:positionH>
                <wp:positionV relativeFrom="paragraph">
                  <wp:posOffset>8255</wp:posOffset>
                </wp:positionV>
                <wp:extent cx="605155" cy="59055"/>
                <wp:effectExtent l="0" t="0" r="23495" b="17145"/>
                <wp:wrapNone/>
                <wp:docPr id="45" name="Flèche gauche 45"/>
                <wp:cNvGraphicFramePr/>
                <a:graphic xmlns:a="http://schemas.openxmlformats.org/drawingml/2006/main">
                  <a:graphicData uri="http://schemas.microsoft.com/office/word/2010/wordprocessingShape">
                    <wps:wsp>
                      <wps:cNvSpPr/>
                      <wps:spPr>
                        <a:xfrm>
                          <a:off x="0" y="0"/>
                          <a:ext cx="605155" cy="590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33354F" id="Flèche gauche 45" o:spid="_x0000_s1026" type="#_x0000_t66" style="position:absolute;margin-left:270.1pt;margin-top:.65pt;width:47.65pt;height:4.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" adj="1054" fillcolor="#4f81bd [3204]" strokecolor="#243f60 [1604]" strokeweight="2pt"/>
            </w:pict>
          </mc:Fallback>
        </mc:AlternateContent>
      </w:r>
      <w:r>
        <w:rPr>
          <w:rFonts w:ascii="Calibri" w:hAnsi="Calibri"/>
          <w:b/>
          <w:color w:val="3333FF"/>
          <w:sz w:val="18"/>
          <w:szCs w:val="18"/>
          <w:lang w:val="pt-BR"/>
        </w:rPr>
        <w:t>&lt;R_REL_COSUCS&gt;</w:t>
      </w:r>
      <w:r>
        <w:rPr>
          <w:rFonts w:ascii="Calibri" w:hAnsi="Calibri"/>
          <w:b/>
          <w:color w:val="FF0000"/>
          <w:sz w:val="18"/>
          <w:szCs w:val="18"/>
          <w:lang w:val="pt-BR"/>
        </w:rPr>
        <w:t>C0002|2012-01-01</w:t>
      </w:r>
      <w:r>
        <w:rPr>
          <w:rFonts w:ascii="Calibri" w:hAnsi="Calibri"/>
          <w:b/>
          <w:color w:val="3333FF"/>
          <w:sz w:val="18"/>
          <w:szCs w:val="18"/>
          <w:lang w:val="pt-BR"/>
        </w:rPr>
        <w:t>&lt;/R_REL_COSUCS&gt;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82816" behindDoc="0" locked="0" layoutInCell="1" allowOverlap="1">
                <wp:simplePos x="0" y="0"/>
                <wp:positionH relativeFrom="column">
                  <wp:posOffset>4179570</wp:posOffset>
                </wp:positionH>
                <wp:positionV relativeFrom="paragraph">
                  <wp:posOffset>-30290</wp:posOffset>
                </wp:positionV>
                <wp:extent cx="1317625" cy="342900"/>
                <wp:effectExtent l="0" t="0" r="0" b="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r>
                              <w:rPr>
                                <w:color w:val="17365D" w:themeColor="text2" w:themeShade="BF"/>
                              </w:rPr>
                              <w:t>Corps spécialité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F3DA4" id="Zone de texte 51" o:spid="_x0000_s1032" type="#_x0000_t202" style="position:absolute;left:0;text-align:left;margin-left:329.1pt;margin-top:-2.4pt;width:103.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spécialité</w:t>
                      </w:r>
                    </w:p>
                  </w:txbxContent>
                </v:textbox>
              </v:shape>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76672" behindDoc="0" locked="0" layoutInCell="1" allowOverlap="1">
                <wp:simplePos x="0" y="0"/>
                <wp:positionH relativeFrom="column">
                  <wp:posOffset>3430080</wp:posOffset>
                </wp:positionH>
                <wp:positionV relativeFrom="paragraph">
                  <wp:posOffset>12065</wp:posOffset>
                </wp:positionV>
                <wp:extent cx="605155" cy="59055"/>
                <wp:effectExtent l="0" t="0" r="23495" b="17145"/>
                <wp:wrapNone/>
                <wp:docPr id="47" name="Flèche gauche 47"/>
                <wp:cNvGraphicFramePr/>
                <a:graphic xmlns:a="http://schemas.openxmlformats.org/drawingml/2006/main">
                  <a:graphicData uri="http://schemas.microsoft.com/office/word/2010/wordprocessingShape">
                    <wps:wsp>
                      <wps:cNvSpPr/>
                      <wps:spPr>
                        <a:xfrm>
                          <a:off x="0" y="0"/>
                          <a:ext cx="605155" cy="590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F1FF6F" id="Flèche gauche 47" o:spid="_x0000_s1026" type="#_x0000_t66" style="position:absolute;margin-left:270.1pt;margin-top:.95pt;width:47.65pt;height:4.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" adj="1054" fillcolor="#4f81bd [3204]" strokecolor="#243f60 [1604]" strokeweight="2pt"/>
            </w:pict>
          </mc:Fallback>
        </mc:AlternateContent>
      </w:r>
      <w:r>
        <w:rPr>
          <w:rFonts w:ascii="Calibri" w:hAnsi="Calibri"/>
          <w:b/>
          <w:color w:val="3333FF"/>
          <w:sz w:val="18"/>
          <w:szCs w:val="18"/>
          <w:lang w:val="pt-BR"/>
        </w:rPr>
        <w:t>&lt;R_REL_CODEBO/&gt;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78720" behindDoc="0" locked="0" layoutInCell="1" allowOverlap="1">
                <wp:simplePos x="0" y="0"/>
                <wp:positionH relativeFrom="column">
                  <wp:posOffset>3430460</wp:posOffset>
                </wp:positionH>
                <wp:positionV relativeFrom="paragraph">
                  <wp:posOffset>21590</wp:posOffset>
                </wp:positionV>
                <wp:extent cx="605155" cy="59055"/>
                <wp:effectExtent l="0" t="0" r="23495" b="17145"/>
                <wp:wrapNone/>
                <wp:docPr id="49" name="Flèche gauche 49"/>
                <wp:cNvGraphicFramePr/>
                <a:graphic xmlns:a="http://schemas.openxmlformats.org/drawingml/2006/main">
                  <a:graphicData uri="http://schemas.microsoft.com/office/word/2010/wordprocessingShape">
                    <wps:wsp>
                      <wps:cNvSpPr/>
                      <wps:spPr>
                        <a:xfrm>
                          <a:off x="0" y="0"/>
                          <a:ext cx="605155" cy="590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814997" id="Flèche gauche 49" o:spid="_x0000_s1026" type="#_x0000_t66" style="position:absolute;margin-left:270.1pt;margin-top:1.7pt;width:47.65pt;height:4.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" adj="1054" fillcolor="#4f81bd [3204]" strokecolor="#243f60 [1604]" strokeweight="2pt"/>
            </w:pict>
          </mc:Fallback>
        </mc:AlternateContent>
      </w:r>
      <w:r>
        <w:rPr>
          <w:rFonts w:ascii="Calibri" w:hAnsi="Calibri"/>
          <w:b/>
          <w:color w:val="3333FF"/>
          <w:sz w:val="18"/>
          <w:szCs w:val="18"/>
          <w:lang w:val="pt-BR"/>
        </w:rPr>
        <w:t xml:space="preserve"> &lt;R_REL_SPECIA/&gt;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86912" behindDoc="0" locked="0" layoutInCell="1" allowOverlap="1">
                <wp:simplePos x="0" y="0"/>
                <wp:positionH relativeFrom="column">
                  <wp:posOffset>3434080</wp:posOffset>
                </wp:positionH>
                <wp:positionV relativeFrom="paragraph">
                  <wp:posOffset>-19050</wp:posOffset>
                </wp:positionV>
                <wp:extent cx="605155" cy="450850"/>
                <wp:effectExtent l="0" t="0" r="23495" b="25400"/>
                <wp:wrapNone/>
                <wp:docPr id="53" name="Flèche gauche 53"/>
                <wp:cNvGraphicFramePr/>
                <a:graphic xmlns:a="http://schemas.openxmlformats.org/drawingml/2006/main">
                  <a:graphicData uri="http://schemas.microsoft.com/office/word/2010/wordprocessingShape">
                    <wps:wsp>
                      <wps:cNvSpPr/>
                      <wps:spPr>
                        <a:xfrm>
                          <a:off x="0" y="0"/>
                          <a:ext cx="605155" cy="450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BB7C" id="Flèche gauche 53" o:spid="_x0000_s1026" type="#_x0000_t66" style="position:absolute;margin-left:270.4pt;margin-top:-1.5pt;width:47.65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" adj="8046" fillcolor="#4f81bd [3204]" strokecolor="#243f60 [1604]" strokeweight="2pt"/>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84864" behindDoc="0" locked="0" layoutInCell="1" allowOverlap="1">
                <wp:simplePos x="0" y="0"/>
                <wp:positionH relativeFrom="column">
                  <wp:posOffset>4301490</wp:posOffset>
                </wp:positionH>
                <wp:positionV relativeFrom="paragraph">
                  <wp:posOffset>-15240</wp:posOffset>
                </wp:positionV>
                <wp:extent cx="1317625" cy="342900"/>
                <wp:effectExtent l="0" t="0" r="0"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proofErr w:type="gramStart"/>
                            <w:r>
                              <w:rPr>
                                <w:color w:val="17365D" w:themeColor="text2" w:themeShade="BF"/>
                              </w:rPr>
                              <w:t>Corps  -</w:t>
                            </w:r>
                            <w:proofErr w:type="gramEnd"/>
                            <w:r>
                              <w:rPr>
                                <w:color w:val="17365D" w:themeColor="text2" w:themeShade="BF"/>
                              </w:rPr>
                              <w:t xml:space="preserve"> Texte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F692A" id="Zone de texte 52" o:spid="_x0000_s1033" type="#_x0000_t202" style="position:absolute;left:0;text-align:left;margin-left:338.7pt;margin-top:-1.2pt;width:103.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 xml:space="preserve"> - Texte</w:t>
                      </w:r>
                    </w:p>
                  </w:txbxContent>
                </v:textbox>
              </v:shape>
            </w:pict>
          </mc:Fallback>
        </mc:AlternateContent>
      </w: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rPr>
      </w:pPr>
      <w:r>
        <w:rPr>
          <w:rFonts w:ascii="Calibri" w:hAnsi="Calibri"/>
          <w:b/>
          <w:noProof/>
          <w:color w:val="3333FF"/>
          <w:sz w:val="18"/>
          <w:szCs w:val="18"/>
          <w:lang w:eastAsia="fr-FR"/>
        </w:rPr>
        <mc:AlternateContent>
          <mc:Choice Requires="wps">
            <w:drawing>
              <wp:anchor distT="0" distB="0" distL="114300" distR="114300" simplePos="0" relativeHeight="251691008" behindDoc="0" locked="0" layoutInCell="1" allowOverlap="1">
                <wp:simplePos x="0" y="0"/>
                <wp:positionH relativeFrom="column">
                  <wp:posOffset>4299585</wp:posOffset>
                </wp:positionH>
                <wp:positionV relativeFrom="paragraph">
                  <wp:posOffset>114935</wp:posOffset>
                </wp:positionV>
                <wp:extent cx="1317625" cy="342900"/>
                <wp:effectExtent l="0" t="0" r="0" b="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proofErr w:type="gramStart"/>
                            <w:r>
                              <w:rPr>
                                <w:color w:val="17365D" w:themeColor="text2" w:themeShade="BF"/>
                              </w:rPr>
                              <w:t>Corps  -</w:t>
                            </w:r>
                            <w:proofErr w:type="gramEnd"/>
                            <w:r>
                              <w:rPr>
                                <w:color w:val="17365D" w:themeColor="text2" w:themeShade="BF"/>
                              </w:rPr>
                              <w:t xml:space="preserve"> Texte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E6EA" id="Zone de texte 55" o:spid="_x0000_s1034" type="#_x0000_t202" style="position:absolute;left:0;text-align:left;margin-left:338.55pt;margin-top:9.05pt;width:103.7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 xml:space="preserve"> - Texte</w:t>
                      </w:r>
                    </w:p>
                  </w:txbxContent>
                </v:textbox>
              </v:shape>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88960" behindDoc="0" locked="0" layoutInCell="1" allowOverlap="1">
                <wp:simplePos x="0" y="0"/>
                <wp:positionH relativeFrom="column">
                  <wp:posOffset>3452940</wp:posOffset>
                </wp:positionH>
                <wp:positionV relativeFrom="paragraph">
                  <wp:posOffset>88900</wp:posOffset>
                </wp:positionV>
                <wp:extent cx="605155" cy="450850"/>
                <wp:effectExtent l="0" t="0" r="23495" b="25400"/>
                <wp:wrapNone/>
                <wp:docPr id="54" name="Flèche gauche 54"/>
                <wp:cNvGraphicFramePr/>
                <a:graphic xmlns:a="http://schemas.openxmlformats.org/drawingml/2006/main">
                  <a:graphicData uri="http://schemas.microsoft.com/office/word/2010/wordprocessingShape">
                    <wps:wsp>
                      <wps:cNvSpPr/>
                      <wps:spPr>
                        <a:xfrm>
                          <a:off x="0" y="0"/>
                          <a:ext cx="605155" cy="450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0D28" id="Flèche gauche 54" o:spid="_x0000_s1026" type="#_x0000_t66" style="position:absolute;margin-left:271.9pt;margin-top:7pt;width:47.6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" adj="8046" fillcolor="#4f81bd [3204]" strokecolor="#243f60 [1604]" strokeweight="2pt"/>
            </w:pict>
          </mc:Fallback>
        </mc:AlternateContent>
      </w: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ab/>
        <w:t>&lt;/R_</w:t>
      </w:r>
      <w:r>
        <w:rPr>
          <w:rFonts w:ascii="Calibri" w:hAnsi="Calibri"/>
          <w:b/>
          <w:bCs/>
          <w:color w:val="0000FF"/>
          <w:sz w:val="18"/>
          <w:szCs w:val="18"/>
        </w:rPr>
        <w:t>CORPS&gt;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ab/>
        <w:t>&lt;R_</w:t>
      </w:r>
      <w:r>
        <w:rPr>
          <w:rFonts w:ascii="Calibri" w:hAnsi="Calibri"/>
          <w:b/>
          <w:bCs/>
          <w:color w:val="0000FF"/>
          <w:sz w:val="18"/>
          <w:szCs w:val="18"/>
        </w:rPr>
        <w:t>CORPS&gt;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rPr>
        <w:tab/>
      </w:r>
      <w:r>
        <w:rPr>
          <w:rFonts w:ascii="Calibri" w:hAnsi="Calibri"/>
          <w:b/>
          <w:color w:val="3333FF"/>
          <w:sz w:val="18"/>
          <w:szCs w:val="18"/>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l"/>
        </w:rPr>
      </w:pPr>
      <w:r>
        <w:rPr>
          <w:rFonts w:ascii="Calibri" w:hAnsi="Calibri"/>
          <w:b/>
          <w:noProof/>
          <w:color w:val="3333FF"/>
          <w:sz w:val="18"/>
          <w:szCs w:val="18"/>
          <w:lang w:eastAsia="fr-FR"/>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52705</wp:posOffset>
                </wp:positionV>
                <wp:extent cx="1828800" cy="342900"/>
                <wp:effectExtent l="9525" t="8255" r="9525" b="1079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
                              <w:t xml:space="preserve">Création du corps C0002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836F" id="Zone de texte 26" o:spid="_x0000_s1035" type="#_x0000_t202" style="position:absolute;left:0;text-align:left;margin-left:4in;margin-top:4.15pt;width:2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">
                <v:textbox>
                  <w:txbxContent>
                    <w:p w:rsidR="00FA450F" w:rsidRDefault="00FA450F" w:rsidP="007816AF">
                      <w:r>
                        <w:t xml:space="preserve">Création du corps C0002 </w:t>
                      </w:r>
                    </w:p>
                  </w:txbxContent>
                </v:textbox>
              </v:shape>
            </w:pict>
          </mc:Fallback>
        </mc:AlternateContent>
      </w:r>
      <w:r>
        <w:rPr>
          <w:rFonts w:ascii="Calibri" w:hAnsi="Calibri"/>
          <w:b/>
          <w:color w:val="3333FF"/>
          <w:sz w:val="18"/>
          <w:szCs w:val="18"/>
          <w:lang w:val="pl"/>
        </w:rPr>
        <w:tab/>
      </w:r>
      <w:r>
        <w:rPr>
          <w:rFonts w:ascii="Calibri" w:hAnsi="Calibri"/>
          <w:b/>
          <w:color w:val="3333FF"/>
          <w:sz w:val="18"/>
          <w:szCs w:val="18"/>
          <w:lang w:val="pl"/>
        </w:rPr>
        <w:tab/>
        <w:t>&lt;TYPE_MAJ&gt;</w:t>
      </w:r>
      <w:r>
        <w:rPr>
          <w:rFonts w:ascii="Calibri" w:hAnsi="Calibri"/>
          <w:b/>
          <w:color w:val="FF0000"/>
          <w:sz w:val="18"/>
          <w:szCs w:val="18"/>
          <w:lang w:val="pl"/>
        </w:rPr>
        <w:t>A</w:t>
      </w:r>
      <w:r>
        <w:rPr>
          <w:rFonts w:ascii="Calibri" w:hAnsi="Calibri"/>
          <w:b/>
          <w:color w:val="3333FF"/>
          <w:sz w:val="18"/>
          <w:szCs w:val="18"/>
          <w:lang w:val="pl"/>
        </w:rPr>
        <w:t>&lt;/TYPE_MAJ&gt;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lang w:val="da-DK"/>
        </w:rPr>
      </w:pPr>
      <w:r>
        <w:rPr>
          <w:rFonts w:ascii="Calibri" w:hAnsi="Calibri"/>
          <w:b/>
          <w:color w:val="3333FF"/>
          <w:sz w:val="18"/>
          <w:szCs w:val="18"/>
          <w:lang w:val="pl"/>
        </w:rPr>
        <w:t xml:space="preserve">                  </w:t>
      </w:r>
      <w:r>
        <w:rPr>
          <w:rFonts w:ascii="Calibri" w:hAnsi="Calibri"/>
          <w:b/>
          <w:color w:val="3333FF"/>
          <w:sz w:val="18"/>
          <w:szCs w:val="18"/>
          <w:lang w:val="da-DK"/>
        </w:rPr>
        <w:t>&lt;R_FOR_IDEN05&gt;</w:t>
      </w:r>
      <w:r>
        <w:rPr>
          <w:rFonts w:ascii="Calibri" w:hAnsi="Calibri"/>
          <w:b/>
          <w:color w:val="FF0000"/>
          <w:sz w:val="18"/>
          <w:szCs w:val="18"/>
          <w:lang w:val="da-DK"/>
        </w:rPr>
        <w:t>C0002</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&lt;R_FOR_DATFIN&gt;&lt;/R_FOR_DATFIN&gt;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&lt;R_FOR_LIBCOU&gt;</w:t>
      </w:r>
      <w:r>
        <w:rPr>
          <w:rFonts w:ascii="Calibri" w:hAnsi="Calibri"/>
          <w:b/>
          <w:color w:val="FF0000"/>
          <w:sz w:val="18"/>
          <w:szCs w:val="18"/>
          <w:lang w:val="pt-BR"/>
        </w:rPr>
        <w:t>Corps 2</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&lt;R_FOR_LIBLON&gt;</w:t>
      </w:r>
      <w:r>
        <w:rPr>
          <w:rFonts w:ascii="Calibri" w:hAnsi="Calibri"/>
          <w:b/>
          <w:color w:val="FF0000"/>
          <w:sz w:val="18"/>
          <w:szCs w:val="18"/>
          <w:lang w:val="pt-BR"/>
        </w:rPr>
        <w:t xml:space="preserve"> Corps exemple 2</w:t>
      </w:r>
      <w:r>
        <w:rPr>
          <w:rFonts w:ascii="Calibri" w:hAnsi="Calibri"/>
          <w:b/>
          <w:color w:val="3333FF"/>
          <w:sz w:val="18"/>
          <w:szCs w:val="18"/>
          <w:lang w:val="pt-BR"/>
        </w:rPr>
        <w:t>&lt;/R_FOR_LIBLON&gt;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&lt;R_FOR_LIBIMP&gt;</w:t>
      </w:r>
      <w:r>
        <w:rPr>
          <w:rFonts w:ascii="Calibri" w:hAnsi="Calibri"/>
          <w:b/>
          <w:color w:val="FF0000"/>
          <w:sz w:val="18"/>
          <w:szCs w:val="18"/>
          <w:lang w:val="pt-BR"/>
        </w:rPr>
        <w:t xml:space="preserve"> Corps exemple 2</w:t>
      </w:r>
      <w:r>
        <w:rPr>
          <w:rFonts w:ascii="Calibri" w:hAnsi="Calibri"/>
          <w:b/>
          <w:color w:val="3333FF"/>
          <w:sz w:val="18"/>
          <w:szCs w:val="18"/>
          <w:lang w:val="pt-BR"/>
        </w:rPr>
        <w:t>&lt;/R_FOR_LIBIMP&gt;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&lt;R_REL_CATEGO&gt;</w:t>
      </w:r>
      <w:r>
        <w:rPr>
          <w:rFonts w:ascii="Calibri" w:hAnsi="Calibri"/>
          <w:b/>
          <w:color w:val="FF0000"/>
          <w:sz w:val="18"/>
          <w:szCs w:val="18"/>
          <w:lang w:val="pt-BR"/>
        </w:rPr>
        <w:t>3</w:t>
      </w:r>
      <w:r>
        <w:rPr>
          <w:rFonts w:ascii="Calibri" w:hAnsi="Calibri"/>
          <w:b/>
          <w:color w:val="3333FF"/>
          <w:sz w:val="18"/>
          <w:szCs w:val="18"/>
          <w:lang w:val="pt-BR"/>
        </w:rPr>
        <w:t>&lt;/R_REL_CATEGO&gt;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&lt;R_REL_FILIER&gt;</w:t>
      </w:r>
      <w:r>
        <w:rPr>
          <w:rFonts w:ascii="Calibri" w:hAnsi="Calibri"/>
          <w:b/>
          <w:color w:val="FF0000"/>
          <w:sz w:val="18"/>
          <w:szCs w:val="18"/>
          <w:lang w:val="pt-BR"/>
        </w:rPr>
        <w:t>FIL2</w:t>
      </w:r>
      <w:r>
        <w:rPr>
          <w:rFonts w:ascii="Calibri" w:hAnsi="Calibri"/>
          <w:b/>
          <w:color w:val="3333FF"/>
          <w:sz w:val="18"/>
          <w:szCs w:val="18"/>
          <w:lang w:val="pt-BR"/>
        </w:rPr>
        <w:t>&lt;/R_REL_FILIER&gt;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&lt;R_REL_SSCATE&gt;</w:t>
      </w:r>
      <w:r>
        <w:rPr>
          <w:rFonts w:ascii="Calibri" w:hAnsi="Calibri"/>
          <w:b/>
          <w:color w:val="FF0000"/>
          <w:sz w:val="18"/>
          <w:szCs w:val="18"/>
          <w:lang w:val="pt-BR"/>
        </w:rPr>
        <w:t>1</w:t>
      </w:r>
      <w:r>
        <w:rPr>
          <w:rFonts w:ascii="Calibri" w:hAnsi="Calibri"/>
          <w:b/>
          <w:color w:val="3333FF"/>
          <w:sz w:val="18"/>
          <w:szCs w:val="18"/>
          <w:lang w:val="pt-BR"/>
        </w:rPr>
        <w:t>&lt;/R_REL_SSCATE&gt;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&lt;R_REL_NACORP&gt;</w:t>
      </w:r>
      <w:r>
        <w:rPr>
          <w:rFonts w:ascii="Calibri" w:hAnsi="Calibri"/>
          <w:b/>
          <w:color w:val="FF0000"/>
          <w:sz w:val="18"/>
          <w:szCs w:val="18"/>
          <w:lang w:val="pt-BR"/>
        </w:rPr>
        <w:t>2</w:t>
      </w:r>
      <w:r>
        <w:rPr>
          <w:rFonts w:ascii="Calibri" w:hAnsi="Calibri"/>
          <w:b/>
          <w:color w:val="3333FF"/>
          <w:sz w:val="18"/>
          <w:szCs w:val="18"/>
          <w:lang w:val="pt-BR"/>
        </w:rPr>
        <w:t>&lt;/R_REL_NACORP&gt;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&lt;R_ADM_COREXT&gt;</w:t>
      </w:r>
      <w:r>
        <w:rPr>
          <w:rFonts w:ascii="Calibri" w:hAnsi="Calibri"/>
          <w:b/>
          <w:color w:val="FF0000"/>
          <w:sz w:val="18"/>
          <w:szCs w:val="18"/>
          <w:lang w:val="pt-BR"/>
        </w:rPr>
        <w:t>0</w:t>
      </w:r>
      <w:r>
        <w:rPr>
          <w:rFonts w:ascii="Calibri" w:hAnsi="Calibri"/>
          <w:b/>
          <w:color w:val="3333FF"/>
          <w:sz w:val="18"/>
          <w:szCs w:val="18"/>
          <w:lang w:val="pt-BR"/>
        </w:rPr>
        <w:t>&lt;/R_ADM_COREXT&gt;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&lt;R_REL_NIVDIP&gt;</w:t>
      </w:r>
      <w:r>
        <w:rPr>
          <w:rFonts w:ascii="Calibri" w:hAnsi="Calibri"/>
          <w:b/>
          <w:color w:val="FF0000"/>
          <w:sz w:val="18"/>
          <w:szCs w:val="18"/>
          <w:lang w:val="pt-BR"/>
        </w:rPr>
        <w:t>1</w:t>
      </w:r>
      <w:r>
        <w:rPr>
          <w:rFonts w:ascii="Calibri" w:hAnsi="Calibri"/>
          <w:b/>
          <w:color w:val="3333FF"/>
          <w:sz w:val="18"/>
          <w:szCs w:val="18"/>
          <w:lang w:val="pt-BR"/>
        </w:rPr>
        <w:t>&lt;/R_REL_NIVDIP&gt;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&lt;R_ADM_CORNBG&gt;</w:t>
      </w:r>
      <w:r>
        <w:rPr>
          <w:rFonts w:ascii="Calibri" w:hAnsi="Calibri"/>
          <w:b/>
          <w:color w:val="FF0000"/>
          <w:sz w:val="18"/>
          <w:szCs w:val="18"/>
          <w:lang w:val="pt-BR"/>
        </w:rPr>
        <w:t>2</w:t>
      </w:r>
      <w:r>
        <w:rPr>
          <w:rFonts w:ascii="Calibri" w:hAnsi="Calibri"/>
          <w:b/>
          <w:color w:val="3333FF"/>
          <w:sz w:val="18"/>
          <w:szCs w:val="18"/>
          <w:lang w:val="pt-BR"/>
        </w:rPr>
        <w:t>&lt;/R_ADM_CORNBG&gt;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&lt;R_REL_MINIST&gt;</w:t>
      </w:r>
      <w:r>
        <w:rPr>
          <w:rFonts w:ascii="Calibri" w:hAnsi="Calibri"/>
          <w:b/>
          <w:color w:val="FF0000"/>
          <w:sz w:val="18"/>
          <w:szCs w:val="18"/>
          <w:lang w:val="pt-BR"/>
        </w:rPr>
        <w:t>MI130</w:t>
      </w:r>
      <w:r>
        <w:rPr>
          <w:rFonts w:ascii="Calibri" w:hAnsi="Calibri"/>
          <w:b/>
          <w:color w:val="3333FF"/>
          <w:sz w:val="18"/>
          <w:szCs w:val="18"/>
          <w:lang w:val="pt-BR"/>
        </w:rPr>
        <w:t>&lt;/R_REL_MINIST&gt;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&lt;R_REL_POPCLA&gt;</w:t>
      </w:r>
      <w:r>
        <w:rPr>
          <w:rFonts w:ascii="Calibri" w:hAnsi="Calibri"/>
          <w:b/>
          <w:color w:val="FF0000"/>
          <w:sz w:val="18"/>
          <w:szCs w:val="18"/>
          <w:lang w:val="pt-BR"/>
        </w:rPr>
        <w:t>3</w:t>
      </w:r>
      <w:r>
        <w:rPr>
          <w:rFonts w:ascii="Calibri" w:hAnsi="Calibri"/>
          <w:b/>
          <w:color w:val="3333FF"/>
          <w:sz w:val="18"/>
          <w:szCs w:val="18"/>
          <w:lang w:val="pt-BR"/>
        </w:rPr>
        <w:t>&lt;/R_REL_POPCLA&gt;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&lt;R_REL_NAFNPU&gt;</w:t>
      </w:r>
      <w:r>
        <w:rPr>
          <w:rFonts w:ascii="Calibri" w:hAnsi="Calibri"/>
          <w:b/>
          <w:color w:val="FF0000"/>
          <w:sz w:val="18"/>
          <w:szCs w:val="18"/>
          <w:lang w:val="pt-BR"/>
        </w:rPr>
        <w:t>1</w:t>
      </w:r>
      <w:r>
        <w:rPr>
          <w:rFonts w:ascii="Calibri" w:hAnsi="Calibri"/>
          <w:b/>
          <w:color w:val="3333FF"/>
          <w:sz w:val="18"/>
          <w:szCs w:val="18"/>
          <w:lang w:val="pt-BR"/>
        </w:rPr>
        <w:t>&lt;/R_REL_NAFNPU&gt;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&lt;R_REL_COANTE&gt;</w:t>
      </w:r>
      <w:r>
        <w:rPr>
          <w:rFonts w:ascii="Calibri" w:hAnsi="Calibri"/>
          <w:b/>
          <w:color w:val="FF0000"/>
          <w:sz w:val="18"/>
          <w:szCs w:val="18"/>
          <w:lang w:val="pt-BR"/>
        </w:rPr>
        <w:t xml:space="preserve"> C0001|2010-01-01</w:t>
      </w:r>
      <w:r>
        <w:rPr>
          <w:rFonts w:ascii="Calibri" w:hAnsi="Calibri"/>
          <w:b/>
          <w:color w:val="3333FF"/>
          <w:sz w:val="18"/>
          <w:szCs w:val="18"/>
          <w:lang w:val="pt-BR"/>
        </w:rPr>
        <w:t>&lt;/R_REL_COANTE&gt;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&lt;R_REL_COSUCS/&gt;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&lt;R_REL_CODEBO/&gt;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&lt;R_REL_SPECIA/&gt;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&lt;R_REL_IDTEXT&gt; </w:t>
      </w:r>
      <w:r>
        <w:rPr>
          <w:rFonts w:ascii="Calibri" w:hAnsi="Calibri"/>
          <w:b/>
          <w:color w:val="FF0000"/>
          <w:sz w:val="18"/>
          <w:szCs w:val="18"/>
          <w:lang w:val="pt-BR"/>
        </w:rPr>
        <w:t>ID000000055</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&lt;R_REL_NATTEX&gt;1&lt;/R_REL_NATTEX&gt;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noProof/>
          <w:color w:val="3333FF"/>
          <w:sz w:val="18"/>
          <w:szCs w:val="18"/>
          <w:lang w:eastAsia="fr-FR"/>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100330</wp:posOffset>
                </wp:positionV>
                <wp:extent cx="1828800" cy="1211580"/>
                <wp:effectExtent l="9525" t="13970" r="9525" b="1270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1580"/>
                        </a:xfrm>
                        <a:prstGeom prst="rect">
                          <a:avLst/>
                        </a:prstGeom>
                        <a:solidFill>
                          <a:srgbClr val="FFFFFF"/>
                        </a:solidFill>
                        <a:ln w="9525">
                          <a:solidFill>
                            <a:srgbClr val="000000"/>
                          </a:solidFill>
                          <a:miter lim="800000"/>
                          <a:headEnd/>
                          <a:tailEnd/>
                        </a:ln>
                      </wps:spPr>
                      <wps:txbx>
                        <w:txbxContent>
                          <w:p>
                            <w:r>
                              <w:t xml:space="preserve">Historisation de l’information associée au corps C0099 suite à la mise à jour de la sous-catégorie associée dans la version 02.09.00.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D543" id="Zone de texte 25" o:spid="_x0000_s1036" type="#_x0000_t202" style="position:absolute;left:0;text-align:left;margin-left:4in;margin-top:7.9pt;width:2in;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">
                <v:textbox>
                  <w:txbxContent>
                    <w:p w:rsidR="00FA450F" w:rsidRDefault="00FA450F" w:rsidP="007816AF">
                      <w:r>
                        <w:t xml:space="preserve">Historisation de l’information associée au corps C0099 suite à la mise à jour de la sous-catégorie associée dans la version 02.09.00. </w:t>
                      </w:r>
                    </w:p>
                  </w:txbxContent>
                </v:textbox>
              </v:shape>
            </w:pict>
          </mc:Fallback>
        </mc:AlternateContent>
      </w:r>
      <w:r>
        <w:rPr>
          <w:rFonts w:ascii="Calibri" w:hAnsi="Calibri"/>
          <w:b/>
          <w:color w:val="3333FF"/>
          <w:sz w:val="18"/>
          <w:szCs w:val="18"/>
        </w:rPr>
        <w:tab/>
        <w:t>&lt;/R_</w:t>
      </w:r>
      <w:r>
        <w:rPr>
          <w:rFonts w:ascii="Calibri" w:hAnsi="Calibri"/>
          <w:b/>
          <w:bCs/>
          <w:color w:val="0000FF"/>
          <w:sz w:val="18"/>
          <w:szCs w:val="18"/>
        </w:rPr>
        <w:t>CORPS&gt;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 xml:space="preserve"> &lt;R_</w:t>
      </w:r>
      <w:r>
        <w:rPr>
          <w:rFonts w:ascii="Calibri" w:hAnsi="Calibri"/>
          <w:b/>
          <w:bCs/>
          <w:color w:val="0000FF"/>
          <w:sz w:val="18"/>
          <w:szCs w:val="18"/>
        </w:rPr>
        <w:t>CORPS&gt;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rPr>
        <w:tab/>
      </w:r>
      <w:r>
        <w:rPr>
          <w:rFonts w:ascii="Calibri" w:hAnsi="Calibri"/>
          <w:b/>
          <w:color w:val="3333FF"/>
          <w:sz w:val="18"/>
          <w:szCs w:val="18"/>
        </w:rPr>
        <w:tab/>
      </w:r>
      <w:r>
        <w:rPr>
          <w:rFonts w:ascii="Calibri" w:hAnsi="Calibri"/>
          <w:b/>
          <w:color w:val="3333FF"/>
          <w:sz w:val="18"/>
          <w:szCs w:val="18"/>
          <w:lang w:val="da-DK"/>
        </w:rPr>
        <w:t>&lt;VERSION_SIT_NOM&gt;</w:t>
      </w:r>
      <w:r>
        <w:rPr>
          <w:rFonts w:ascii="Calibri" w:hAnsi="Calibri"/>
          <w:b/>
          <w:color w:val="FF0000"/>
          <w:sz w:val="18"/>
          <w:szCs w:val="18"/>
          <w:lang w:val="da-DK"/>
        </w:rPr>
        <w:t>02.09.00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&lt;R_FOR_IDEN05&gt;</w:t>
      </w:r>
      <w:r>
        <w:rPr>
          <w:rFonts w:ascii="Calibri" w:hAnsi="Calibri"/>
          <w:b/>
          <w:color w:val="FF0000"/>
          <w:sz w:val="18"/>
          <w:szCs w:val="18"/>
          <w:lang w:val="da-DK"/>
        </w:rPr>
        <w:t>C0099</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1900-01-01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2012-05-31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&lt;R_FOR_LIBCOU&gt;</w:t>
      </w:r>
      <w:r>
        <w:rPr>
          <w:rFonts w:ascii="Calibri" w:hAnsi="Calibri"/>
          <w:b/>
          <w:color w:val="FF0000"/>
          <w:sz w:val="18"/>
          <w:szCs w:val="18"/>
          <w:lang w:val="pt-BR"/>
        </w:rPr>
        <w:t>Corps 99</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lastRenderedPageBreak/>
        <w:t>&lt;R_FOR_LIBLON&gt;</w:t>
      </w:r>
      <w:r>
        <w:rPr>
          <w:rFonts w:ascii="Calibri" w:hAnsi="Calibri"/>
          <w:b/>
          <w:color w:val="FF0000"/>
          <w:sz w:val="18"/>
          <w:szCs w:val="18"/>
          <w:lang w:val="pt-BR"/>
        </w:rPr>
        <w:t xml:space="preserve"> Corps exemple 99</w:t>
      </w:r>
      <w:r>
        <w:rPr>
          <w:rFonts w:ascii="Calibri" w:hAnsi="Calibri"/>
          <w:b/>
          <w:color w:val="3333FF"/>
          <w:sz w:val="18"/>
          <w:szCs w:val="18"/>
          <w:lang w:val="pt-BR"/>
        </w:rPr>
        <w:t>&lt;/R_FOR_LIBLON&gt;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&lt;R_FOR_LIBIMP&gt;</w:t>
      </w:r>
      <w:r>
        <w:rPr>
          <w:rFonts w:ascii="Calibri" w:hAnsi="Calibri"/>
          <w:b/>
          <w:color w:val="FF0000"/>
          <w:sz w:val="18"/>
          <w:szCs w:val="18"/>
          <w:lang w:val="pt-BR"/>
        </w:rPr>
        <w:t xml:space="preserve"> Corps exemple 99</w:t>
      </w:r>
      <w:r>
        <w:rPr>
          <w:rFonts w:ascii="Calibri" w:hAnsi="Calibri"/>
          <w:b/>
          <w:color w:val="3333FF"/>
          <w:sz w:val="18"/>
          <w:szCs w:val="18"/>
          <w:lang w:val="pt-BR"/>
        </w:rPr>
        <w:t>&lt;/R_FOR_LIBIMP&gt;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&lt;R_REL_CATEGO&gt;</w:t>
      </w:r>
      <w:r>
        <w:rPr>
          <w:rFonts w:ascii="Calibri" w:hAnsi="Calibri"/>
          <w:b/>
          <w:color w:val="FF0000"/>
          <w:sz w:val="18"/>
          <w:szCs w:val="18"/>
          <w:lang w:val="pt-BR"/>
        </w:rPr>
        <w:t>3</w:t>
      </w:r>
      <w:r>
        <w:rPr>
          <w:rFonts w:ascii="Calibri" w:hAnsi="Calibri"/>
          <w:b/>
          <w:color w:val="3333FF"/>
          <w:sz w:val="18"/>
          <w:szCs w:val="18"/>
          <w:lang w:val="pt-BR"/>
        </w:rPr>
        <w:t>&lt;/R_REL_CATEGO&gt;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&lt;R_REL_FILIER&gt;</w:t>
      </w:r>
      <w:r>
        <w:rPr>
          <w:rFonts w:ascii="Calibri" w:hAnsi="Calibri"/>
          <w:b/>
          <w:color w:val="FF0000"/>
          <w:sz w:val="18"/>
          <w:szCs w:val="18"/>
          <w:lang w:val="pt-BR"/>
        </w:rPr>
        <w:t>FIL10</w:t>
      </w:r>
      <w:r>
        <w:rPr>
          <w:rFonts w:ascii="Calibri" w:hAnsi="Calibri"/>
          <w:b/>
          <w:color w:val="3333FF"/>
          <w:sz w:val="18"/>
          <w:szCs w:val="18"/>
          <w:lang w:val="pt-BR"/>
        </w:rPr>
        <w:t>&lt;/R_REL_FILIER&gt;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&lt;R_REL_SSCATE&gt;&lt;/R_REL_SSCATE&gt; </w:t>
      </w:r>
      <w:r>
        <w:rPr>
          <w:rFonts w:ascii="Calibri" w:hAnsi="Calibri"/>
          <w:b/>
          <w:sz w:val="18"/>
          <w:szCs w:val="18"/>
          <w:lang w:val="pt-BR"/>
        </w:rPr>
        <w:t>(Historique)</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&lt;R_REL_NACORP&gt;</w:t>
      </w:r>
      <w:r>
        <w:rPr>
          <w:rFonts w:ascii="Calibri" w:hAnsi="Calibri"/>
          <w:b/>
          <w:color w:val="FF0000"/>
          <w:sz w:val="18"/>
          <w:szCs w:val="18"/>
          <w:lang w:val="pt-BR"/>
        </w:rPr>
        <w:t>2</w:t>
      </w:r>
      <w:r>
        <w:rPr>
          <w:rFonts w:ascii="Calibri" w:hAnsi="Calibri"/>
          <w:b/>
          <w:color w:val="3333FF"/>
          <w:sz w:val="18"/>
          <w:szCs w:val="18"/>
          <w:lang w:val="pt-BR"/>
        </w:rPr>
        <w:t>&lt;/R_REL_NACORP&gt;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&lt;R_ADM_COREXT&gt;</w:t>
      </w:r>
      <w:r>
        <w:rPr>
          <w:rFonts w:ascii="Calibri" w:hAnsi="Calibri"/>
          <w:b/>
          <w:color w:val="FF0000"/>
          <w:sz w:val="18"/>
          <w:szCs w:val="18"/>
          <w:lang w:val="pt-BR"/>
        </w:rPr>
        <w:t>0</w:t>
      </w:r>
      <w:r>
        <w:rPr>
          <w:rFonts w:ascii="Calibri" w:hAnsi="Calibri"/>
          <w:b/>
          <w:color w:val="3333FF"/>
          <w:sz w:val="18"/>
          <w:szCs w:val="18"/>
          <w:lang w:val="pt-BR"/>
        </w:rPr>
        <w:t>&lt;/R_ADM_COREXT&gt;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&lt;R_REL_NIVDIP&gt;</w:t>
      </w:r>
      <w:r>
        <w:rPr>
          <w:rFonts w:ascii="Calibri" w:hAnsi="Calibri"/>
          <w:b/>
          <w:color w:val="FF0000"/>
          <w:sz w:val="18"/>
          <w:szCs w:val="18"/>
          <w:lang w:val="pt-BR"/>
        </w:rPr>
        <w:t>1</w:t>
      </w:r>
      <w:r>
        <w:rPr>
          <w:rFonts w:ascii="Calibri" w:hAnsi="Calibri"/>
          <w:b/>
          <w:color w:val="3333FF"/>
          <w:sz w:val="18"/>
          <w:szCs w:val="18"/>
          <w:lang w:val="pt-BR"/>
        </w:rPr>
        <w:t>&lt;/R_REL_NIVDIP&gt;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&lt;R_ADM_CORNBG&gt;</w:t>
      </w:r>
      <w:r>
        <w:rPr>
          <w:rFonts w:ascii="Calibri" w:hAnsi="Calibri"/>
          <w:b/>
          <w:color w:val="FF0000"/>
          <w:sz w:val="18"/>
          <w:szCs w:val="18"/>
          <w:lang w:val="pt-BR"/>
        </w:rPr>
        <w:t>2</w:t>
      </w:r>
      <w:r>
        <w:rPr>
          <w:rFonts w:ascii="Calibri" w:hAnsi="Calibri"/>
          <w:b/>
          <w:color w:val="3333FF"/>
          <w:sz w:val="18"/>
          <w:szCs w:val="18"/>
          <w:lang w:val="pt-BR"/>
        </w:rPr>
        <w:t>&lt;/R_ADM_CORNBG&gt;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&lt;R_REL_MINIST&gt;</w:t>
      </w:r>
      <w:r>
        <w:rPr>
          <w:rFonts w:ascii="Calibri" w:hAnsi="Calibri"/>
          <w:b/>
          <w:color w:val="FF0000"/>
          <w:sz w:val="18"/>
          <w:szCs w:val="18"/>
          <w:lang w:val="pt-BR"/>
        </w:rPr>
        <w:t>MI130</w:t>
      </w:r>
      <w:r>
        <w:rPr>
          <w:rFonts w:ascii="Calibri" w:hAnsi="Calibri"/>
          <w:b/>
          <w:color w:val="3333FF"/>
          <w:sz w:val="18"/>
          <w:szCs w:val="18"/>
          <w:lang w:val="pt-BR"/>
        </w:rPr>
        <w:t>&lt;/R_REL_MINIST&gt;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&lt;R_REL_POPCLA&gt;</w:t>
      </w:r>
      <w:r>
        <w:rPr>
          <w:rFonts w:ascii="Calibri" w:hAnsi="Calibri"/>
          <w:b/>
          <w:color w:val="FF0000"/>
          <w:sz w:val="18"/>
          <w:szCs w:val="18"/>
          <w:lang w:val="pt-BR"/>
        </w:rPr>
        <w:t>3</w:t>
      </w:r>
      <w:r>
        <w:rPr>
          <w:rFonts w:ascii="Calibri" w:hAnsi="Calibri"/>
          <w:b/>
          <w:color w:val="3333FF"/>
          <w:sz w:val="18"/>
          <w:szCs w:val="18"/>
          <w:lang w:val="pt-BR"/>
        </w:rPr>
        <w:t>&lt;/R_REL_POPCLA&gt;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&lt;R_REL_NAFNPU&gt;</w:t>
      </w:r>
      <w:r>
        <w:rPr>
          <w:rFonts w:ascii="Calibri" w:hAnsi="Calibri"/>
          <w:b/>
          <w:color w:val="FF0000"/>
          <w:sz w:val="18"/>
          <w:szCs w:val="18"/>
          <w:lang w:val="pt-BR"/>
        </w:rPr>
        <w:t>1</w:t>
      </w:r>
      <w:r>
        <w:rPr>
          <w:rFonts w:ascii="Calibri" w:hAnsi="Calibri"/>
          <w:b/>
          <w:color w:val="3333FF"/>
          <w:sz w:val="18"/>
          <w:szCs w:val="18"/>
          <w:lang w:val="pt-BR"/>
        </w:rPr>
        <w:t>&lt;/R_REL_NAFNPU&gt;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&lt;R_REL_COANTE/&gt;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&lt;R_REL_COSUCS/&gt;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&lt;R_REL_CODEBO/&gt;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&lt;R_REL_SPECIA/&gt;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 xml:space="preserve"> ID000000055</w:t>
      </w:r>
      <w:r>
        <w:rPr>
          <w:rFonts w:ascii="Calibri" w:hAnsi="Calibri"/>
          <w:b/>
          <w:color w:val="3333FF"/>
          <w:sz w:val="18"/>
          <w:szCs w:val="18"/>
          <w:lang w:val="pt-BR"/>
        </w:rPr>
        <w:t xml:space="preserve"> &lt;/R_REL_IDTEXT&gt;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&lt;R_REL_NATTEX&gt;1 &lt;/R_REL_NATTEX&gt;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 xml:space="preserve"> ID000000222</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&lt;R_REL_NATTEX&gt;2&lt;/R_REL_NATTEX&gt;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ab/>
        <w:t>&lt;/R_</w:t>
      </w:r>
      <w:r>
        <w:rPr>
          <w:rFonts w:ascii="Calibri" w:hAnsi="Calibri"/>
          <w:b/>
          <w:bCs/>
          <w:color w:val="0000FF"/>
          <w:sz w:val="18"/>
          <w:szCs w:val="18"/>
        </w:rPr>
        <w:t>CORPS&gt;</w:t>
      </w:r>
      <w:r>
        <w:rPr>
          <w:rFonts w:ascii="Calibri" w:hAnsi="Calibri"/>
          <w:b/>
          <w:color w:val="3333FF"/>
          <w:sz w:val="18"/>
          <w:szCs w:val="18"/>
        </w:rPr>
        <w:tab/>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&lt;R_</w:t>
      </w:r>
      <w:r>
        <w:rPr>
          <w:rFonts w:ascii="Calibri" w:hAnsi="Calibri"/>
          <w:b/>
          <w:bCs/>
          <w:color w:val="0000FF"/>
          <w:sz w:val="18"/>
          <w:szCs w:val="18"/>
        </w:rPr>
        <w:t>CORPS&gt;</w:t>
      </w:r>
      <w:r>
        <w:rPr>
          <w:rFonts w:ascii="Calibri" w:hAnsi="Calibri"/>
          <w:b/>
          <w:color w:val="3333FF"/>
          <w:sz w:val="18"/>
          <w:szCs w:val="18"/>
        </w:rPr>
        <w:t xml:space="preserve">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rPr>
        <w:tab/>
      </w:r>
      <w:r>
        <w:rPr>
          <w:rFonts w:ascii="Calibri" w:hAnsi="Calibri"/>
          <w:b/>
          <w:color w:val="3333FF"/>
          <w:sz w:val="18"/>
          <w:szCs w:val="18"/>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 xml:space="preserve"> &lt;R_FOR_IDEN05&gt;</w:t>
      </w:r>
      <w:r>
        <w:rPr>
          <w:rFonts w:ascii="Calibri" w:hAnsi="Calibri"/>
          <w:b/>
          <w:color w:val="FF0000"/>
          <w:sz w:val="18"/>
          <w:szCs w:val="18"/>
          <w:lang w:val="da-DK"/>
        </w:rPr>
        <w:t>C0099</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2012-06-01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noProof/>
          <w:color w:val="3333F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3681095</wp:posOffset>
                </wp:positionH>
                <wp:positionV relativeFrom="paragraph">
                  <wp:posOffset>97155</wp:posOffset>
                </wp:positionV>
                <wp:extent cx="1828800" cy="1586865"/>
                <wp:effectExtent l="0" t="0" r="19050" b="133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86865"/>
                        </a:xfrm>
                        <a:prstGeom prst="rect">
                          <a:avLst/>
                        </a:prstGeom>
                        <a:solidFill>
                          <a:srgbClr val="FFFFFF"/>
                        </a:solidFill>
                        <a:ln w="9525">
                          <a:solidFill>
                            <a:srgbClr val="000000"/>
                          </a:solidFill>
                          <a:miter lim="800000"/>
                          <a:headEnd/>
                          <a:tailEnd/>
                        </a:ln>
                      </wps:spPr>
                      <wps:txbx>
                        <w:txbxContent>
                          <w:p>
                            <w:r>
                              <w:t>Clôture du corps C0099 au 31/07/2012 dans la version 00.05.10</w:t>
                            </w:r>
                          </w:p>
                          <w:p>
                            <w:r>
                              <w:t>Cette mise à jour implique la diffusion de tout l’historique associé au corps C0099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A7040" id="Zone de texte 24" o:spid="_x0000_s1037" type="#_x0000_t202" style="position:absolute;left:0;text-align:left;margin-left:289.85pt;margin-top:7.65pt;width:2in;height:1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">
                <v:textbox>
                  <w:txbxContent>
                    <w:p w:rsidR="00FA450F" w:rsidRDefault="00FA450F" w:rsidP="007816AF">
                      <w:r>
                        <w:t>Clôture du corps C0099 au 31/07/2012 dans la version 00.05.10</w:t>
                      </w:r>
                    </w:p>
                    <w:p w:rsidR="00FA450F" w:rsidRDefault="00FA450F" w:rsidP="007816AF">
                      <w:r>
                        <w:t>Cette mise à jour implique la diffusion de tout l’historique associé au corps C0099</w:t>
                      </w:r>
                    </w:p>
                  </w:txbxContent>
                </v:textbox>
              </v:shape>
            </w:pict>
          </mc:Fallback>
        </mc:AlternateContent>
      </w:r>
      <w:r>
        <w:rPr>
          <w:rFonts w:ascii="Calibri" w:hAnsi="Calibri"/>
          <w:b/>
          <w:color w:val="3333FF"/>
          <w:sz w:val="18"/>
          <w:szCs w:val="18"/>
          <w:lang w:val="da-DK"/>
        </w:rPr>
        <w:t>&lt;R_FOR_DATFIN&gt;</w:t>
      </w:r>
      <w:r>
        <w:rPr>
          <w:rFonts w:ascii="Calibri" w:hAnsi="Calibri"/>
          <w:b/>
          <w:color w:val="FF0000"/>
          <w:sz w:val="18"/>
          <w:szCs w:val="18"/>
          <w:lang w:val="da-DK"/>
        </w:rPr>
        <w:t>2012-07-31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&lt;R_FOR_LIBCOU&gt;</w:t>
      </w:r>
      <w:r>
        <w:rPr>
          <w:rFonts w:ascii="Calibri" w:hAnsi="Calibri"/>
          <w:b/>
          <w:color w:val="FF0000"/>
          <w:sz w:val="18"/>
          <w:szCs w:val="18"/>
          <w:lang w:val="pt-BR"/>
        </w:rPr>
        <w:t>Corps 99</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&lt;R_FOR_LIBLON&gt;</w:t>
      </w:r>
      <w:r>
        <w:rPr>
          <w:rFonts w:ascii="Calibri" w:hAnsi="Calibri"/>
          <w:b/>
          <w:color w:val="FF0000"/>
          <w:sz w:val="18"/>
          <w:szCs w:val="18"/>
          <w:lang w:val="pt-BR"/>
        </w:rPr>
        <w:t xml:space="preserve"> Corps exemple 99</w:t>
      </w:r>
      <w:r>
        <w:rPr>
          <w:rFonts w:ascii="Calibri" w:hAnsi="Calibri"/>
          <w:b/>
          <w:color w:val="3333FF"/>
          <w:sz w:val="18"/>
          <w:szCs w:val="18"/>
          <w:lang w:val="pt-BR"/>
        </w:rPr>
        <w:t>&lt;/R_FOR_LIBLON&gt;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&lt;R_FOR_LIBIMP&gt;</w:t>
      </w:r>
      <w:r>
        <w:rPr>
          <w:rFonts w:ascii="Calibri" w:hAnsi="Calibri"/>
          <w:b/>
          <w:color w:val="FF0000"/>
          <w:sz w:val="18"/>
          <w:szCs w:val="18"/>
          <w:lang w:val="pt-BR"/>
        </w:rPr>
        <w:t xml:space="preserve"> Corps exemple 99</w:t>
      </w:r>
      <w:r>
        <w:rPr>
          <w:rFonts w:ascii="Calibri" w:hAnsi="Calibri"/>
          <w:b/>
          <w:color w:val="3333FF"/>
          <w:sz w:val="18"/>
          <w:szCs w:val="18"/>
          <w:lang w:val="pt-BR"/>
        </w:rPr>
        <w:t>&lt;/R_FOR_LIBIMP&gt;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&lt;R_REL_CATEGO&gt;</w:t>
      </w:r>
      <w:r>
        <w:rPr>
          <w:rFonts w:ascii="Calibri" w:hAnsi="Calibri"/>
          <w:b/>
          <w:color w:val="FF0000"/>
          <w:sz w:val="18"/>
          <w:szCs w:val="18"/>
          <w:lang w:val="pt-BR"/>
        </w:rPr>
        <w:t>3</w:t>
      </w:r>
      <w:r>
        <w:rPr>
          <w:rFonts w:ascii="Calibri" w:hAnsi="Calibri"/>
          <w:b/>
          <w:color w:val="3333FF"/>
          <w:sz w:val="18"/>
          <w:szCs w:val="18"/>
          <w:lang w:val="pt-BR"/>
        </w:rPr>
        <w:t>&lt;/R_REL_CATEGO&gt;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&lt;R_REL_FILIER&gt;</w:t>
      </w:r>
      <w:r>
        <w:rPr>
          <w:rFonts w:ascii="Calibri" w:hAnsi="Calibri"/>
          <w:b/>
          <w:color w:val="FF0000"/>
          <w:sz w:val="18"/>
          <w:szCs w:val="18"/>
          <w:lang w:val="pt-BR"/>
        </w:rPr>
        <w:t>FIL10</w:t>
      </w:r>
      <w:r>
        <w:rPr>
          <w:rFonts w:ascii="Calibri" w:hAnsi="Calibri"/>
          <w:b/>
          <w:color w:val="3333FF"/>
          <w:sz w:val="18"/>
          <w:szCs w:val="18"/>
          <w:lang w:val="pt-BR"/>
        </w:rPr>
        <w:t>&lt;/R_REL_FILIER&gt;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&lt;R_REL_SSCATE&gt;</w:t>
      </w:r>
      <w:r>
        <w:rPr>
          <w:rFonts w:ascii="Calibri" w:hAnsi="Calibri"/>
          <w:b/>
          <w:color w:val="FF0000"/>
          <w:sz w:val="18"/>
          <w:szCs w:val="18"/>
          <w:lang w:val="pt-BR"/>
        </w:rPr>
        <w:t>1</w:t>
      </w:r>
      <w:r>
        <w:rPr>
          <w:rFonts w:ascii="Calibri" w:hAnsi="Calibri"/>
          <w:b/>
          <w:color w:val="3333FF"/>
          <w:sz w:val="18"/>
          <w:szCs w:val="18"/>
          <w:lang w:val="pt-BR"/>
        </w:rPr>
        <w:t>&lt;/R_REL_SSCATE&gt;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&lt;R_REL_NACORP&gt;</w:t>
      </w:r>
      <w:r>
        <w:rPr>
          <w:rFonts w:ascii="Calibri" w:hAnsi="Calibri"/>
          <w:b/>
          <w:color w:val="FF0000"/>
          <w:sz w:val="18"/>
          <w:szCs w:val="18"/>
          <w:lang w:val="pt-BR"/>
        </w:rPr>
        <w:t>2</w:t>
      </w:r>
      <w:r>
        <w:rPr>
          <w:rFonts w:ascii="Calibri" w:hAnsi="Calibri"/>
          <w:b/>
          <w:color w:val="3333FF"/>
          <w:sz w:val="18"/>
          <w:szCs w:val="18"/>
          <w:lang w:val="pt-BR"/>
        </w:rPr>
        <w:t>&lt;/R_REL_NACORP&gt;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&lt;R_ADM_COREXT&gt;</w:t>
      </w:r>
      <w:r>
        <w:rPr>
          <w:rFonts w:ascii="Calibri" w:hAnsi="Calibri"/>
          <w:b/>
          <w:color w:val="FF0000"/>
          <w:sz w:val="18"/>
          <w:szCs w:val="18"/>
          <w:lang w:val="pt-BR"/>
        </w:rPr>
        <w:t>0</w:t>
      </w:r>
      <w:r>
        <w:rPr>
          <w:rFonts w:ascii="Calibri" w:hAnsi="Calibri"/>
          <w:b/>
          <w:color w:val="3333FF"/>
          <w:sz w:val="18"/>
          <w:szCs w:val="18"/>
          <w:lang w:val="pt-BR"/>
        </w:rPr>
        <w:t>&lt;/R_ADM_COREXT&gt;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&lt;R_REL_NIVDIP&gt;</w:t>
      </w:r>
      <w:r>
        <w:rPr>
          <w:rFonts w:ascii="Calibri" w:hAnsi="Calibri"/>
          <w:b/>
          <w:color w:val="FF0000"/>
          <w:sz w:val="18"/>
          <w:szCs w:val="18"/>
          <w:lang w:val="pt-BR"/>
        </w:rPr>
        <w:t>1</w:t>
      </w:r>
      <w:r>
        <w:rPr>
          <w:rFonts w:ascii="Calibri" w:hAnsi="Calibri"/>
          <w:b/>
          <w:color w:val="3333FF"/>
          <w:sz w:val="18"/>
          <w:szCs w:val="18"/>
          <w:lang w:val="pt-BR"/>
        </w:rPr>
        <w:t>&lt;/R_REL_NIVDIP&gt;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&lt;R_ADM_CORNBG&gt;</w:t>
      </w:r>
      <w:r>
        <w:rPr>
          <w:rFonts w:ascii="Calibri" w:hAnsi="Calibri"/>
          <w:b/>
          <w:color w:val="FF0000"/>
          <w:sz w:val="18"/>
          <w:szCs w:val="18"/>
          <w:lang w:val="pt-BR"/>
        </w:rPr>
        <w:t>2</w:t>
      </w:r>
      <w:r>
        <w:rPr>
          <w:rFonts w:ascii="Calibri" w:hAnsi="Calibri"/>
          <w:b/>
          <w:color w:val="3333FF"/>
          <w:sz w:val="18"/>
          <w:szCs w:val="18"/>
          <w:lang w:val="pt-BR"/>
        </w:rPr>
        <w:t>&lt;/R_ADM_CORNBG&gt;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&lt;R_REL_MINIST&gt;</w:t>
      </w:r>
      <w:r>
        <w:rPr>
          <w:rFonts w:ascii="Calibri" w:hAnsi="Calibri"/>
          <w:b/>
          <w:color w:val="FF0000"/>
          <w:sz w:val="18"/>
          <w:szCs w:val="18"/>
          <w:lang w:val="pt-BR"/>
        </w:rPr>
        <w:t>MI130</w:t>
      </w:r>
      <w:r>
        <w:rPr>
          <w:rFonts w:ascii="Calibri" w:hAnsi="Calibri"/>
          <w:b/>
          <w:color w:val="3333FF"/>
          <w:sz w:val="18"/>
          <w:szCs w:val="18"/>
          <w:lang w:val="pt-BR"/>
        </w:rPr>
        <w:t>&lt;/R_REL_MINIST&gt;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&lt;R_REL_POPCLA&gt;</w:t>
      </w:r>
      <w:r>
        <w:rPr>
          <w:rFonts w:ascii="Calibri" w:hAnsi="Calibri"/>
          <w:b/>
          <w:color w:val="FF0000"/>
          <w:sz w:val="18"/>
          <w:szCs w:val="18"/>
          <w:lang w:val="pt-BR"/>
        </w:rPr>
        <w:t>3</w:t>
      </w:r>
      <w:r>
        <w:rPr>
          <w:rFonts w:ascii="Calibri" w:hAnsi="Calibri"/>
          <w:b/>
          <w:color w:val="3333FF"/>
          <w:sz w:val="18"/>
          <w:szCs w:val="18"/>
          <w:lang w:val="pt-BR"/>
        </w:rPr>
        <w:t>&lt;/R_REL_POPCLA&gt;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&lt;R_REL_NAFNPU&gt;</w:t>
      </w:r>
      <w:r>
        <w:rPr>
          <w:rFonts w:ascii="Calibri" w:hAnsi="Calibri"/>
          <w:b/>
          <w:color w:val="FF0000"/>
          <w:sz w:val="18"/>
          <w:szCs w:val="18"/>
          <w:lang w:val="pt-BR"/>
        </w:rPr>
        <w:t>1</w:t>
      </w:r>
      <w:r>
        <w:rPr>
          <w:rFonts w:ascii="Calibri" w:hAnsi="Calibri"/>
          <w:b/>
          <w:color w:val="3333FF"/>
          <w:sz w:val="18"/>
          <w:szCs w:val="18"/>
          <w:lang w:val="pt-BR"/>
        </w:rPr>
        <w:t>&lt;/R_REL_NAFNPU&gt;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&lt;R_REL_COANTE/&gt;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851"/>
        <w:rPr>
          <w:rFonts w:ascii="Calibri" w:hAnsi="Calibri"/>
          <w:b/>
          <w:color w:val="3333FF"/>
          <w:sz w:val="18"/>
          <w:szCs w:val="18"/>
          <w:lang w:val="pt-BR"/>
        </w:rPr>
      </w:pPr>
      <w:r>
        <w:rPr>
          <w:rFonts w:ascii="Calibri" w:hAnsi="Calibri"/>
          <w:b/>
          <w:color w:val="3333FF"/>
          <w:sz w:val="18"/>
          <w:szCs w:val="18"/>
          <w:lang w:val="pt-BR"/>
        </w:rPr>
        <w:t>&lt;R_REL_COSUCS/&gt;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&lt;R_REL_CODEBO/&gt;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851"/>
        <w:rPr>
          <w:rFonts w:ascii="Calibri" w:hAnsi="Calibri"/>
          <w:b/>
          <w:color w:val="3333FF"/>
          <w:sz w:val="18"/>
          <w:szCs w:val="18"/>
          <w:lang w:val="pt-BR"/>
        </w:rPr>
      </w:pPr>
      <w:r>
        <w:rPr>
          <w:rFonts w:ascii="Calibri" w:hAnsi="Calibri"/>
          <w:b/>
          <w:color w:val="3333FF"/>
          <w:sz w:val="18"/>
          <w:szCs w:val="18"/>
          <w:lang w:val="pt-BR"/>
        </w:rPr>
        <w:lastRenderedPageBreak/>
        <w:t xml:space="preserve"> &lt;R_REL_SPECIA/&gt;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ID000000222</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&lt;R_REL_NATTEX&gt;1&lt;/R_REL_NATTEX&gt;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ID000000333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&lt;R_REL_NATTEX&gt;2&lt;/R_REL_NATTEX&gt;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567"/>
        <w:rPr>
          <w:rFonts w:ascii="Calibri" w:hAnsi="Calibri"/>
          <w:b/>
          <w:color w:val="3333FF"/>
          <w:sz w:val="18"/>
          <w:szCs w:val="18"/>
        </w:rPr>
      </w:pPr>
      <w:r>
        <w:rPr>
          <w:rFonts w:ascii="Calibri" w:hAnsi="Calibri"/>
          <w:b/>
          <w:color w:val="3333FF"/>
          <w:sz w:val="18"/>
          <w:szCs w:val="18"/>
        </w:rPr>
        <w:tab/>
        <w:t>&lt;/R_</w:t>
      </w:r>
      <w:r>
        <w:rPr>
          <w:rFonts w:ascii="Calibri" w:hAnsi="Calibri"/>
          <w:b/>
          <w:bCs/>
          <w:color w:val="0000FF"/>
          <w:sz w:val="18"/>
          <w:szCs w:val="18"/>
        </w:rPr>
        <w:t>CORPS&gt;</w:t>
      </w:r>
      <w:r>
        <w:rPr>
          <w:rFonts w:ascii="Calibri" w:hAnsi="Calibri"/>
          <w:b/>
          <w:color w:val="3333FF"/>
          <w:sz w:val="18"/>
          <w:szCs w:val="18"/>
        </w:rPr>
        <w:tab/>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&lt;/DONNEES_MAJ&gt;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r>
        <w:rPr>
          <w:rFonts w:ascii="Calibri" w:hAnsi="Calibri"/>
          <w:sz w:val="18"/>
          <w:szCs w:val="18"/>
        </w:rPr>
        <w:t>Fichier référentiel </w:t>
      </w:r>
      <w:r>
        <w:t>: INGRES_D_ V00.05.10_F00.04.00_P00_GRADE_00030.xml</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&lt;ENTETE&gt;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sz w:val="18"/>
          <w:szCs w:val="18"/>
        </w:rPr>
        <w:tab/>
      </w:r>
      <w:r>
        <w:rPr>
          <w:rFonts w:ascii="Calibri" w:hAnsi="Calibri"/>
          <w:b/>
          <w:color w:val="3333FF"/>
          <w:sz w:val="18"/>
          <w:szCs w:val="18"/>
        </w:rPr>
        <w:t>&lt;VERSION_DIFFUSION&gt;</w:t>
      </w:r>
      <w:r>
        <w:rPr>
          <w:rFonts w:asciiTheme="minorHAnsi" w:hAnsiTheme="minorHAnsi" w:cstheme="minorHAnsi"/>
          <w:b/>
          <w:color w:val="FF0000"/>
          <w:sz w:val="18"/>
          <w:szCs w:val="18"/>
        </w:rPr>
        <w:t>00.05.10</w:t>
      </w:r>
      <w:r>
        <w:rPr>
          <w:rFonts w:ascii="Calibri" w:hAnsi="Calibr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 VERSION_FORMAT_XML &gt;</w:t>
      </w:r>
      <w:r>
        <w:rPr>
          <w:rFonts w:ascii="Calibri" w:hAnsi="Calibri"/>
          <w:b/>
          <w:color w:val="FF0000"/>
          <w:sz w:val="18"/>
          <w:szCs w:val="18"/>
        </w:rPr>
        <w:t>00.04.00</w:t>
      </w:r>
      <w:r>
        <w:rPr>
          <w:rFonts w:ascii="Calibri" w:hAnsi="Calibri"/>
          <w:b/>
          <w:color w:val="3333FF"/>
          <w:sz w:val="18"/>
          <w:szCs w:val="18"/>
        </w:rPr>
        <w:t>&lt;/VERSION_FORMAT_XML &gt;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&lt;ID_DIFFUSION&gt;</w:t>
      </w:r>
      <w:r>
        <w:rPr>
          <w:rFonts w:ascii="Calibri" w:hAnsi="Calibri"/>
          <w:b/>
          <w:color w:val="FF0000"/>
          <w:sz w:val="18"/>
          <w:szCs w:val="18"/>
        </w:rPr>
        <w:t>0000001</w:t>
      </w:r>
      <w:r>
        <w:rPr>
          <w:rFonts w:ascii="Calibri" w:hAnsi="Calibri"/>
          <w:b/>
          <w:color w:val="3333FF"/>
          <w:sz w:val="18"/>
          <w:szCs w:val="18"/>
        </w:rPr>
        <w:t>&lt;/ID_DIFFUSION&gt;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ab/>
        <w:t>&lt;ID_TRANSFERT&gt;</w:t>
      </w:r>
      <w:r>
        <w:rPr>
          <w:rFonts w:ascii="Calibri" w:hAnsi="Calibri"/>
          <w:b/>
          <w:color w:val="FF0000"/>
          <w:sz w:val="18"/>
          <w:szCs w:val="18"/>
        </w:rPr>
        <w:t>0000002</w:t>
      </w:r>
      <w:r>
        <w:rPr>
          <w:rFonts w:ascii="Calibri" w:hAnsi="Calibri"/>
          <w:b/>
          <w:color w:val="3333FF"/>
          <w:sz w:val="18"/>
          <w:szCs w:val="18"/>
        </w:rPr>
        <w:t>&lt;/ID_TRANSFERT&gt;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&lt;ID_REF&gt;</w:t>
      </w:r>
      <w:r>
        <w:rPr>
          <w:rFonts w:ascii="Calibri" w:hAnsi="Calibri"/>
          <w:b/>
          <w:bCs/>
          <w:color w:val="FF0000"/>
          <w:sz w:val="18"/>
          <w:szCs w:val="18"/>
          <w:lang w:val="da-DK"/>
        </w:rPr>
        <w:t xml:space="preserve"> GRADE</w:t>
      </w:r>
      <w:r>
        <w:rPr>
          <w:rFonts w:ascii="Calibri" w:hAnsi="Calibri"/>
          <w:b/>
          <w:color w:val="3333FF"/>
          <w:sz w:val="18"/>
          <w:szCs w:val="18"/>
        </w:rPr>
        <w:t xml:space="preserve"> &lt;/ID_REF&gt;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&lt;MODE_MAJ&gt;</w:t>
      </w:r>
      <w:r>
        <w:rPr>
          <w:rFonts w:ascii="Calibri" w:hAnsi="Calibri"/>
          <w:b/>
          <w:color w:val="FF0000"/>
          <w:sz w:val="18"/>
          <w:szCs w:val="18"/>
        </w:rPr>
        <w:t>D</w:t>
      </w:r>
      <w:r>
        <w:rPr>
          <w:rFonts w:ascii="Calibri" w:hAnsi="Calibri"/>
          <w:b/>
          <w:color w:val="3333FF"/>
          <w:sz w:val="18"/>
          <w:szCs w:val="18"/>
        </w:rPr>
        <w:t>&lt;/MODE_MAJ&gt;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&lt;NB_SIT_NOM&gt;</w:t>
      </w:r>
      <w:r>
        <w:rPr>
          <w:rFonts w:ascii="Calibri" w:hAnsi="Calibri"/>
          <w:b/>
          <w:color w:val="FF0000"/>
          <w:sz w:val="18"/>
          <w:szCs w:val="18"/>
          <w:lang w:val="da-DK"/>
        </w:rPr>
        <w:t>4</w:t>
      </w:r>
      <w:r>
        <w:rPr>
          <w:rFonts w:ascii="Calibri" w:hAnsi="Calibri"/>
          <w:b/>
          <w:color w:val="3333FF"/>
          <w:sz w:val="18"/>
          <w:szCs w:val="18"/>
          <w:lang w:val="da-DK"/>
        </w:rPr>
        <w:t>&lt;/NB_SIT_NOM&gt;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color w:val="3333FF"/>
          <w:sz w:val="18"/>
          <w:szCs w:val="18"/>
          <w:lang w:val="da-DK"/>
        </w:rPr>
        <w:t>&lt;/ENTETE&gt;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lang w:val="da-DK"/>
        </w:rPr>
      </w:pPr>
      <w:r>
        <w:rPr>
          <w:rFonts w:ascii="Calibri" w:hAnsi="Calibri"/>
          <w:b/>
          <w:color w:val="3333FF"/>
          <w:sz w:val="18"/>
          <w:szCs w:val="18"/>
          <w:lang w:val="da-DK"/>
        </w:rPr>
        <w:t>&lt;DONNEES_MAJ&gt;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color w:val="3333FF"/>
          <w:sz w:val="18"/>
          <w:szCs w:val="18"/>
          <w:lang w:val="da-DK"/>
        </w:rPr>
        <w:tab/>
        <w:t>&lt;R_GRADE&gt;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&lt;VERSION_SIT_NOM&gt;</w:t>
      </w:r>
      <w:r>
        <w:rPr>
          <w:rFonts w:ascii="Calibri" w:hAnsi="Calibri"/>
          <w:b/>
          <w:color w:val="FF0000"/>
          <w:sz w:val="18"/>
          <w:szCs w:val="18"/>
          <w:lang w:val="da-DK"/>
        </w:rPr>
        <w:t>02.08.00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noProof/>
          <w:color w:val="3366FF"/>
          <w:sz w:val="18"/>
          <w:szCs w:val="18"/>
          <w:lang w:eastAsia="fr-FR"/>
        </w:rPr>
        <mc:AlternateContent>
          <mc:Choice Requires="wps">
            <w:drawing>
              <wp:anchor distT="0" distB="0" distL="114300" distR="114300" simplePos="0" relativeHeight="251665408" behindDoc="0" locked="0" layoutInCell="1" allowOverlap="1">
                <wp:simplePos x="0" y="0"/>
                <wp:positionH relativeFrom="column">
                  <wp:posOffset>3839845</wp:posOffset>
                </wp:positionH>
                <wp:positionV relativeFrom="paragraph">
                  <wp:posOffset>-76200</wp:posOffset>
                </wp:positionV>
                <wp:extent cx="1828800" cy="1211580"/>
                <wp:effectExtent l="0" t="0" r="19050" b="2667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1580"/>
                        </a:xfrm>
                        <a:prstGeom prst="rect">
                          <a:avLst/>
                        </a:prstGeom>
                        <a:solidFill>
                          <a:srgbClr val="FFFFFF"/>
                        </a:solidFill>
                        <a:ln w="9525">
                          <a:solidFill>
                            <a:srgbClr val="000000"/>
                          </a:solidFill>
                          <a:miter lim="800000"/>
                          <a:headEnd/>
                          <a:tailEnd/>
                        </a:ln>
                      </wps:spPr>
                      <wps:txbx>
                        <w:txbxContent>
                          <w:p>
                            <w:r>
                              <w:t>Historisation de l’information associée au grade G0010 suite à la mise à jour de la sous-catégorie associée dans la version 02.08.00.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D856C" id="Zone de texte 23" o:spid="_x0000_s1038" type="#_x0000_t202" style="position:absolute;left:0;text-align:left;margin-left:302.35pt;margin-top:-6pt;width:2in;height:9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">
                <v:textbox>
                  <w:txbxContent>
                    <w:p w:rsidR="00FA450F" w:rsidRDefault="00FA450F" w:rsidP="007816AF">
                      <w:r>
                        <w:t>Historisation de l’information associée au grade G0010 suite à la mise à jour de la sous-catégorie associée dans la version 02.08.00.</w:t>
                      </w:r>
                    </w:p>
                  </w:txbxContent>
                </v:textbox>
              </v:shape>
            </w:pict>
          </mc:Fallback>
        </mc:AlternateContent>
      </w:r>
      <w:r>
        <w:rPr>
          <w:rFonts w:ascii="Calibri" w:hAnsi="Calibri"/>
          <w:b/>
          <w:color w:val="3333FF"/>
          <w:sz w:val="18"/>
          <w:szCs w:val="18"/>
          <w:lang w:val="da-DK"/>
        </w:rPr>
        <w:t xml:space="preserve"> &lt;R_FOR_IDEN05&gt;</w:t>
      </w:r>
      <w:r>
        <w:rPr>
          <w:rFonts w:ascii="Calibri" w:hAnsi="Calibri"/>
          <w:b/>
          <w:color w:val="FF0000"/>
          <w:sz w:val="18"/>
          <w:szCs w:val="18"/>
          <w:lang w:val="da-DK"/>
        </w:rPr>
        <w:t>G0010</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2012-05-31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 </w:t>
      </w:r>
      <w:r>
        <w:rPr>
          <w:rFonts w:ascii="Calibri" w:hAnsi="Calibri"/>
          <w:b/>
          <w:color w:val="FF0000"/>
          <w:sz w:val="18"/>
          <w:szCs w:val="18"/>
          <w:lang w:val="pt-BR"/>
        </w:rPr>
        <w:t>Grade 10</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10</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10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10</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10</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&lt;R_REL_CORPS&gt;</w:t>
      </w:r>
      <w:r>
        <w:rPr>
          <w:rFonts w:ascii="Calibri" w:hAnsi="Calibri"/>
          <w:b/>
          <w:color w:val="FF0000"/>
          <w:sz w:val="18"/>
          <w:szCs w:val="18"/>
          <w:lang w:val="pt-BR"/>
        </w:rPr>
        <w:t>C0001|2010-01-01</w:t>
      </w:r>
      <w:r>
        <w:rPr>
          <w:rFonts w:ascii="Calibri" w:hAnsi="Calibri"/>
          <w:b/>
          <w:color w:val="3333FF"/>
          <w:sz w:val="18"/>
          <w:szCs w:val="18"/>
          <w:lang w:val="pt-BR"/>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&lt;R_REL_GRIIND&gt;</w:t>
      </w:r>
      <w:r>
        <w:rPr>
          <w:rFonts w:ascii="Calibri" w:hAnsi="Calibri"/>
          <w:b/>
          <w:color w:val="FF0000"/>
          <w:sz w:val="18"/>
          <w:szCs w:val="18"/>
          <w:lang w:val="pt-BR"/>
        </w:rPr>
        <w:t>GIND1</w:t>
      </w:r>
      <w:r>
        <w:rPr>
          <w:rFonts w:ascii="Calibri" w:hAnsi="Calibri"/>
          <w:b/>
          <w:color w:val="3333FF"/>
          <w:sz w:val="18"/>
          <w:szCs w:val="18"/>
          <w:lang w:val="pt-BR"/>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lastRenderedPageBreak/>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62336" behindDoc="0" locked="0" layoutInCell="1" allowOverlap="1">
                <wp:simplePos x="0" y="0"/>
                <wp:positionH relativeFrom="column">
                  <wp:posOffset>3826584</wp:posOffset>
                </wp:positionH>
                <wp:positionV relativeFrom="paragraph">
                  <wp:posOffset>90879</wp:posOffset>
                </wp:positionV>
                <wp:extent cx="1828800" cy="1983179"/>
                <wp:effectExtent l="0" t="0" r="19050" b="1714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83179"/>
                        </a:xfrm>
                        <a:prstGeom prst="rect">
                          <a:avLst/>
                        </a:prstGeom>
                        <a:solidFill>
                          <a:srgbClr val="FFFFFF"/>
                        </a:solidFill>
                        <a:ln w="9525">
                          <a:solidFill>
                            <a:srgbClr val="000000"/>
                          </a:solidFill>
                          <a:miter lim="800000"/>
                          <a:headEnd/>
                          <a:tailEnd/>
                        </a:ln>
                      </wps:spPr>
                      <wps:txbx>
                        <w:txbxContent>
                          <w:p>
                            <w:r>
                              <w:t>Historisation de l’information associée au grade G0010 suite à la mise à jour la grille indiciaire le 01/06/2012.</w:t>
                            </w:r>
                          </w:p>
                          <w:p>
                            <w:r>
                              <w:t xml:space="preserve">Cette mise à jour implique la diffusion de tout l’historique associé grade G0010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3228" id="Zone de texte 21" o:spid="_x0000_s1039" type="#_x0000_t202" style="position:absolute;left:0;text-align:left;margin-left:301.3pt;margin-top:7.15pt;width:2in;height:15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">
                <v:textbox>
                  <w:txbxContent>
                    <w:p w:rsidR="00FA450F" w:rsidRDefault="00FA450F" w:rsidP="00014E1F">
                      <w:r>
                        <w:t>Historisation de l’information associée au grade G0010 suite à la mise à jour la grille indiciaire le 01/06/2012.</w:t>
                      </w:r>
                    </w:p>
                    <w:p w:rsidR="00FA450F" w:rsidRDefault="00FA450F" w:rsidP="007816AF">
                      <w:r>
                        <w:t xml:space="preserve">Cette mise à jour implique la diffusion de tout l’historique associé grade G0010 </w:t>
                      </w:r>
                    </w:p>
                  </w:txbxContent>
                </v:textbox>
              </v:shape>
            </w:pict>
          </mc:Fallback>
        </mc:AlternateContent>
      </w: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&lt;/R_GRADE&gt;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 xml:space="preserve"> &lt;R_GRADE&gt;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pt-BR"/>
        </w:rPr>
        <w:tab/>
      </w:r>
      <w:r>
        <w:rPr>
          <w:rFonts w:ascii="Calibri" w:hAnsi="Calibri"/>
          <w:b/>
          <w:color w:val="3333FF"/>
          <w:sz w:val="18"/>
          <w:szCs w:val="18"/>
          <w:lang w:val="pt-BR"/>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l"/>
        </w:rPr>
      </w:pPr>
      <w:r>
        <w:rPr>
          <w:rFonts w:ascii="Calibri" w:hAnsi="Calibri"/>
          <w:b/>
          <w:color w:val="3333FF"/>
          <w:sz w:val="18"/>
          <w:szCs w:val="18"/>
          <w:lang w:val="da-DK"/>
        </w:rPr>
        <w:tab/>
      </w:r>
      <w:r>
        <w:rPr>
          <w:rFonts w:ascii="Calibri" w:hAnsi="Calibri"/>
          <w:b/>
          <w:color w:val="3333FF"/>
          <w:sz w:val="18"/>
          <w:szCs w:val="18"/>
          <w:lang w:val="da-DK"/>
        </w:rPr>
        <w:tab/>
      </w:r>
      <w:r>
        <w:rPr>
          <w:rFonts w:ascii="Calibri" w:hAnsi="Calibri"/>
          <w:b/>
          <w:color w:val="3333FF"/>
          <w:sz w:val="18"/>
          <w:szCs w:val="18"/>
          <w:lang w:val="pl"/>
        </w:rPr>
        <w:t>&lt;TYPE_MAJ&gt;</w:t>
      </w:r>
      <w:r>
        <w:rPr>
          <w:rFonts w:ascii="Calibri" w:hAnsi="Calibri"/>
          <w:b/>
          <w:color w:val="FF0000"/>
          <w:sz w:val="18"/>
          <w:szCs w:val="18"/>
          <w:lang w:val="pl"/>
        </w:rPr>
        <w:t>A</w:t>
      </w:r>
      <w:r>
        <w:rPr>
          <w:rFonts w:ascii="Calibri" w:hAnsi="Calibri"/>
          <w:b/>
          <w:color w:val="3333FF"/>
          <w:sz w:val="18"/>
          <w:szCs w:val="18"/>
          <w:lang w:val="pl"/>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pl"/>
        </w:rPr>
        <w:t xml:space="preserve"> </w:t>
      </w:r>
      <w:r>
        <w:rPr>
          <w:rFonts w:ascii="Calibri" w:hAnsi="Calibri"/>
          <w:b/>
          <w:color w:val="3333FF"/>
          <w:sz w:val="18"/>
          <w:szCs w:val="18"/>
          <w:lang w:val="da-DK"/>
        </w:rPr>
        <w:t>&lt;R_FOR_IDEN05&gt;</w:t>
      </w:r>
      <w:r>
        <w:rPr>
          <w:rFonts w:ascii="Calibri" w:hAnsi="Calibri"/>
          <w:b/>
          <w:color w:val="FF0000"/>
          <w:sz w:val="18"/>
          <w:szCs w:val="18"/>
          <w:lang w:val="da-DK"/>
        </w:rPr>
        <w:t>G0010</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2012-06-01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&lt;R_FOR_LIBCOU&gt;Nouveau  </w:t>
      </w:r>
      <w:r>
        <w:rPr>
          <w:rFonts w:ascii="Calibri" w:hAnsi="Calibri"/>
          <w:b/>
          <w:color w:val="FF0000"/>
          <w:sz w:val="18"/>
          <w:szCs w:val="18"/>
          <w:lang w:val="pt-BR"/>
        </w:rPr>
        <w:t>Grade 10</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10</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10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10</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10</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&lt;R_REL_CORPS&gt;</w:t>
      </w:r>
      <w:r>
        <w:rPr>
          <w:rFonts w:ascii="Calibri" w:hAnsi="Calibri"/>
          <w:b/>
          <w:color w:val="FF0000"/>
          <w:sz w:val="18"/>
          <w:szCs w:val="18"/>
          <w:lang w:val="pt-BR"/>
        </w:rPr>
        <w:t>C0001|2010-01-01</w:t>
      </w:r>
      <w:r>
        <w:rPr>
          <w:rFonts w:ascii="Calibri" w:hAnsi="Calibri"/>
          <w:b/>
          <w:color w:val="3333FF"/>
          <w:sz w:val="18"/>
          <w:szCs w:val="18"/>
          <w:lang w:val="pt-BR"/>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&lt;R_REL_GRIIND&gt;</w:t>
      </w:r>
      <w:r>
        <w:rPr>
          <w:rFonts w:ascii="Calibri" w:hAnsi="Calibri"/>
          <w:b/>
          <w:color w:val="FF0000"/>
          <w:sz w:val="18"/>
          <w:szCs w:val="18"/>
          <w:lang w:val="pt-BR"/>
        </w:rPr>
        <w:t xml:space="preserve"> GIND2</w:t>
      </w:r>
      <w:r>
        <w:rPr>
          <w:rFonts w:ascii="Calibri" w:hAnsi="Calibri"/>
          <w:b/>
          <w:color w:val="3333FF"/>
          <w:sz w:val="18"/>
          <w:szCs w:val="18"/>
          <w:lang w:val="pt-BR"/>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ab/>
        <w:t>&lt;/R_GRADE&gt;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66432" behindDoc="0" locked="0" layoutInCell="1" allowOverlap="1">
                <wp:simplePos x="0" y="0"/>
                <wp:positionH relativeFrom="column">
                  <wp:posOffset>3703320</wp:posOffset>
                </wp:positionH>
                <wp:positionV relativeFrom="paragraph">
                  <wp:posOffset>39370</wp:posOffset>
                </wp:positionV>
                <wp:extent cx="1828800" cy="1672590"/>
                <wp:effectExtent l="0" t="0" r="19050" b="2286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72590"/>
                        </a:xfrm>
                        <a:prstGeom prst="rect">
                          <a:avLst/>
                        </a:prstGeom>
                        <a:solidFill>
                          <a:srgbClr val="FFFFFF"/>
                        </a:solidFill>
                        <a:ln w="9525">
                          <a:solidFill>
                            <a:srgbClr val="000000"/>
                          </a:solidFill>
                          <a:miter lim="800000"/>
                          <a:headEnd/>
                          <a:tailEnd/>
                        </a:ln>
                      </wps:spPr>
                      <wps:txbx>
                        <w:txbxContent>
                          <w:p>
                            <w:r>
                              <w:t>Clôture du grade G0099 associée à la clôture du corps C0099 au 31/07/2012.</w:t>
                            </w:r>
                          </w:p>
                          <w:p>
                            <w:r>
                              <w:t>Cette mise à jour implique la diffusion de tout l’historique associé grade G0099</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5838" id="Zone de texte 19" o:spid="_x0000_s1040" type="#_x0000_t202" style="position:absolute;left:0;text-align:left;margin-left:291.6pt;margin-top:3.1pt;width:2in;height:1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">
                <v:textbox>
                  <w:txbxContent>
                    <w:p w:rsidR="00FA450F" w:rsidRDefault="00FA450F" w:rsidP="007816AF">
                      <w:r>
                        <w:t>Clôture du grade G0099 associée à la clôture du corps C0099 au 31/07/2012.</w:t>
                      </w:r>
                    </w:p>
                    <w:p w:rsidR="00FA450F" w:rsidRDefault="00FA450F" w:rsidP="007816AF">
                      <w:r>
                        <w:t>Cette mise à jour implique la diffusion de tout l’historique associé grade G0099</w:t>
                      </w:r>
                    </w:p>
                    <w:p w:rsidR="00FA450F" w:rsidRDefault="00FA450F" w:rsidP="007816AF"/>
                  </w:txbxContent>
                </v:textbox>
              </v:shape>
            </w:pict>
          </mc:Fallback>
        </mc:AlternateContent>
      </w:r>
      <w:r>
        <w:rPr>
          <w:rFonts w:ascii="Calibri" w:hAnsi="Calibri"/>
          <w:b/>
          <w:color w:val="3333FF"/>
          <w:sz w:val="18"/>
          <w:szCs w:val="18"/>
          <w:lang w:val="pt-BR"/>
        </w:rPr>
        <w:t xml:space="preserve"> &lt;R_GRADE&gt;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&lt;R_FOR_IDEN05&gt;</w:t>
      </w:r>
      <w:r>
        <w:rPr>
          <w:rFonts w:ascii="Calibri" w:hAnsi="Calibri"/>
          <w:b/>
          <w:color w:val="FF0000"/>
          <w:sz w:val="18"/>
          <w:szCs w:val="18"/>
          <w:lang w:val="da-DK"/>
        </w:rPr>
        <w:t>G0099</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1900-01-01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2012-07-31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 </w:t>
      </w:r>
      <w:r>
        <w:rPr>
          <w:rFonts w:ascii="Calibri" w:hAnsi="Calibri"/>
          <w:b/>
          <w:color w:val="FF0000"/>
          <w:sz w:val="18"/>
          <w:szCs w:val="18"/>
          <w:lang w:val="pt-BR"/>
        </w:rPr>
        <w:t>Grade 99</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99</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99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99</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99</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lastRenderedPageBreak/>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en-GB"/>
        </w:rPr>
      </w:pPr>
      <w:r>
        <w:rPr>
          <w:rFonts w:ascii="Calibri" w:hAnsi="Calibri"/>
          <w:b/>
          <w:color w:val="3333FF"/>
          <w:sz w:val="18"/>
          <w:szCs w:val="18"/>
          <w:lang w:val="en-GB"/>
        </w:rPr>
        <w:t>&lt;R_REL_CORPS&gt;</w:t>
      </w:r>
      <w:r>
        <w:rPr>
          <w:rFonts w:ascii="Calibri" w:hAnsi="Calibri"/>
          <w:b/>
          <w:color w:val="FF0000"/>
          <w:sz w:val="18"/>
          <w:szCs w:val="18"/>
          <w:lang w:val="en-GB"/>
        </w:rPr>
        <w:t>C0099|1900-01-01</w:t>
      </w:r>
      <w:r>
        <w:rPr>
          <w:rFonts w:ascii="Calibri" w:hAnsi="Calibri"/>
          <w:b/>
          <w:color w:val="3333FF"/>
          <w:sz w:val="18"/>
          <w:szCs w:val="18"/>
          <w:lang w:val="en-GB"/>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en-GB"/>
        </w:rPr>
      </w:pPr>
      <w:r>
        <w:rPr>
          <w:rFonts w:ascii="Calibri" w:hAnsi="Calibri"/>
          <w:b/>
          <w:color w:val="3333FF"/>
          <w:sz w:val="18"/>
          <w:szCs w:val="18"/>
          <w:lang w:val="en-GB"/>
        </w:rPr>
        <w:t>&lt;R_REL_GRIIND&gt;</w:t>
      </w:r>
      <w:r>
        <w:rPr>
          <w:rFonts w:ascii="Calibri" w:hAnsi="Calibri"/>
          <w:b/>
          <w:color w:val="FF0000"/>
          <w:sz w:val="18"/>
          <w:szCs w:val="18"/>
          <w:lang w:val="en-GB"/>
        </w:rPr>
        <w:t>GIND1</w:t>
      </w:r>
      <w:r>
        <w:rPr>
          <w:rFonts w:ascii="Calibri" w:hAnsi="Calibri"/>
          <w:b/>
          <w:color w:val="3333FF"/>
          <w:sz w:val="18"/>
          <w:szCs w:val="18"/>
          <w:lang w:val="en-GB"/>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rPr>
        <w:t xml:space="preserve">              </w:t>
      </w:r>
      <w:r>
        <w:rPr>
          <w:rFonts w:ascii="Calibri" w:hAnsi="Calibri"/>
          <w:b/>
          <w:color w:val="3333FF"/>
          <w:sz w:val="18"/>
          <w:szCs w:val="18"/>
          <w:lang w:val="pt-BR"/>
        </w:rPr>
        <w:t>&lt;R_REL_IDTEXT&gt;</w:t>
      </w:r>
      <w:r>
        <w:rPr>
          <w:rFonts w:ascii="Calibri" w:hAnsi="Calibri"/>
          <w:b/>
          <w:color w:val="FF0000"/>
          <w:sz w:val="18"/>
          <w:szCs w:val="18"/>
          <w:lang w:val="pt-BR"/>
        </w:rPr>
        <w:t>ID000000222</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 xml:space="preserve">              &lt;R_REL_IDTEXT&gt;</w:t>
      </w:r>
      <w:r>
        <w:rPr>
          <w:rFonts w:ascii="Calibri" w:hAnsi="Calibri"/>
          <w:b/>
          <w:color w:val="FF0000"/>
          <w:sz w:val="18"/>
          <w:szCs w:val="18"/>
        </w:rPr>
        <w:t>ID000000333</w:t>
      </w:r>
      <w:r>
        <w:rPr>
          <w:rFonts w:ascii="Calibri" w:hAnsi="Calibri"/>
          <w:b/>
          <w:color w:val="3333FF"/>
          <w:sz w:val="18"/>
          <w:szCs w:val="18"/>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2</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66FF"/>
          <w:sz w:val="18"/>
          <w:szCs w:val="18"/>
        </w:rPr>
        <w:tab/>
      </w:r>
      <w:r>
        <w:rPr>
          <w:rFonts w:ascii="Calibri" w:hAnsi="Calibri"/>
          <w:b/>
          <w:color w:val="3333FF"/>
          <w:sz w:val="18"/>
          <w:szCs w:val="18"/>
          <w:lang w:val="pt-BR"/>
        </w:rPr>
        <w:t>&lt;/R_GRADE&gt;</w:t>
      </w:r>
      <w:r>
        <w:rPr>
          <w:rFonts w:ascii="Calibri" w:hAnsi="Calibri"/>
          <w:b/>
          <w:color w:val="3333FF"/>
          <w:sz w:val="18"/>
          <w:szCs w:val="18"/>
          <w:lang w:val="pt-BR"/>
        </w:rPr>
        <w:tab/>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lang w:val="pt-BR"/>
        </w:rPr>
      </w:pPr>
      <w:r>
        <w:rPr>
          <w:rFonts w:ascii="Calibri" w:hAnsi="Calibri"/>
          <w:b/>
          <w:color w:val="3333FF"/>
          <w:sz w:val="18"/>
          <w:szCs w:val="18"/>
          <w:lang w:val="pt-BR"/>
        </w:rPr>
        <w:t>&lt;/DONNEES_MAJ&gt;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
      <w:pPr>
        <w:spacing w:before="0" w:after="0" w:line="100" w:lineRule="atLeast"/>
        <w:rPr>
          <w:lang w:val="da-DK"/>
        </w:rPr>
      </w:pPr>
    </w:p>
    <w:p>
      <w:pPr>
        <w:pStyle w:val="Titre2"/>
      </w:pPr>
      <w:bookmarkStart w:id="242" w:name="_Toc20761143"/>
      <w:r>
        <w:t>Fichiers « Référentiel » produits au format 00.05.10 à la suite d’une mise à jour des référentiels de classification centraux</w:t>
      </w:r>
      <w:bookmarkEnd w:id="242"/>
    </w:p>
    <w:p>
      <w:r>
        <w:t xml:space="preserve">La mise à jour décrite dans le paragraphe précédent est ici diffusée dans la version de format XML 00.05.10 </w:t>
      </w:r>
    </w:p>
    <w:p>
      <w:pPr>
        <w:suppressAutoHyphens w:val="0"/>
        <w:spacing w:line="240" w:lineRule="auto"/>
        <w:jc w:val="both"/>
      </w:pPr>
    </w:p>
    <w:p>
      <w:pPr>
        <w:suppressAutoHyphens w:val="0"/>
        <w:spacing w:line="240" w:lineRule="auto"/>
        <w:jc w:val="both"/>
      </w:pPr>
      <w:r>
        <w:t xml:space="preserve">Fichier chapeau : </w:t>
      </w:r>
    </w:p>
    <w:p>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3333FF"/>
          <w:sz w:val="18"/>
          <w:szCs w:val="18"/>
        </w:rPr>
      </w:pPr>
      <w:r>
        <w:rPr>
          <w:rFonts w:asciiTheme="minorHAnsi" w:hAnsiTheme="minorHAnsi" w:cstheme="minorHAnsi"/>
          <w:b/>
          <w:color w:val="3333FF"/>
          <w:sz w:val="18"/>
          <w:szCs w:val="18"/>
        </w:rPr>
        <w:t>&lt;RACINE&gt;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sz w:val="18"/>
          <w:szCs w:val="18"/>
        </w:rPr>
        <w:tab/>
      </w:r>
      <w:r>
        <w:rPr>
          <w:rFonts w:asciiTheme="minorHAnsi" w:hAnsiTheme="minorHAnsi" w:cstheme="minorHAnsi"/>
          <w:b/>
          <w:color w:val="3333FF"/>
          <w:sz w:val="18"/>
          <w:szCs w:val="18"/>
        </w:rPr>
        <w:t>&lt;VERSION_DIFFUSION&gt;</w:t>
      </w:r>
      <w:r>
        <w:rPr>
          <w:rFonts w:asciiTheme="minorHAnsi" w:hAnsiTheme="minorHAnsi" w:cstheme="minorHAnsi"/>
          <w:b/>
          <w:color w:val="FF0000"/>
          <w:sz w:val="18"/>
          <w:szCs w:val="18"/>
        </w:rPr>
        <w:t>00.05.10</w:t>
      </w:r>
      <w:r>
        <w:rPr>
          <w:rFonts w:asciiTheme="minorHAnsi" w:hAnsiTheme="minorHAnsi" w:cstheme="minorHAns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&lt;VERSION_FORMAT_XML &gt;</w:t>
      </w:r>
      <w:r>
        <w:rPr>
          <w:rFonts w:asciiTheme="minorHAnsi" w:hAnsiTheme="minorHAnsi" w:cstheme="minorHAnsi"/>
          <w:b/>
          <w:color w:val="FF0000"/>
          <w:sz w:val="18"/>
          <w:szCs w:val="18"/>
        </w:rPr>
        <w:t>00.05.10</w:t>
      </w:r>
      <w:r>
        <w:rPr>
          <w:rFonts w:asciiTheme="minorHAnsi" w:hAnsiTheme="minorHAnsi" w:cstheme="minorHAnsi"/>
          <w:b/>
          <w:color w:val="3333FF"/>
          <w:sz w:val="18"/>
          <w:szCs w:val="18"/>
          <w:lang w:eastAsia="fr-FR"/>
        </w:rPr>
        <w:t>&lt;/VERSION_FORMAT_XML &gt;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18"/>
          <w:lang w:eastAsia="fr-FR"/>
        </w:rPr>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&lt;/ID_DIFFUSION&gt;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&lt;/ID_TRANSFERT&gt;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&lt;LISTE_CIBLE&gt;</w:t>
      </w:r>
    </w:p>
    <w:p>
      <w:pPr>
        <w:pBdr>
          <w:top w:val="single" w:sz="4" w:space="1" w:color="auto"/>
          <w:left w:val="single" w:sz="4" w:space="4" w:color="auto"/>
          <w:bottom w:val="single" w:sz="4" w:space="1" w:color="auto"/>
          <w:right w:val="single" w:sz="4" w:space="4" w:color="auto"/>
        </w:pBdr>
        <w:spacing w:before="0" w:after="0"/>
        <w:ind w:firstLine="851"/>
        <w:rPr>
          <w:rFonts w:asciiTheme="minorHAnsi" w:hAnsiTheme="minorHAnsi" w:cstheme="minorHAnsi"/>
          <w:b/>
          <w:color w:val="3333FF"/>
          <w:sz w:val="18"/>
          <w:szCs w:val="18"/>
        </w:rPr>
      </w:pPr>
      <w:r>
        <w:rPr>
          <w:rFonts w:asciiTheme="minorHAnsi" w:hAnsiTheme="minorHAnsi" w:cstheme="minorHAnsi"/>
          <w:b/>
          <w:color w:val="3333FF"/>
          <w:sz w:val="18"/>
          <w:szCs w:val="18"/>
        </w:rPr>
        <w:t xml:space="preserve"> &lt;CIBLE&gt;</w:t>
      </w:r>
      <w:r>
        <w:rPr>
          <w:rFonts w:asciiTheme="minorHAnsi" w:hAnsiTheme="minorHAnsi" w:cstheme="minorHAnsi"/>
          <w:b/>
          <w:color w:val="FF0000"/>
          <w:sz w:val="18"/>
          <w:szCs w:val="18"/>
        </w:rPr>
        <w:t xml:space="preserve"> </w:t>
      </w:r>
      <w:r>
        <w:rPr>
          <w:rFonts w:asciiTheme="minorHAnsi" w:hAnsiTheme="minorHAnsi" w:cstheme="minorHAnsi"/>
          <w:b/>
          <w:color w:val="FF0000"/>
          <w:sz w:val="18"/>
          <w:szCs w:val="18"/>
          <w:lang w:eastAsia="fr-FR"/>
        </w:rPr>
        <w:t>SIR011</w:t>
      </w:r>
      <w:r>
        <w:rPr>
          <w:rFonts w:asciiTheme="minorHAnsi" w:hAnsiTheme="minorHAnsi" w:cstheme="minorHAnsi"/>
          <w:b/>
          <w:color w:val="3333FF"/>
          <w:sz w:val="18"/>
          <w:szCs w:val="18"/>
        </w:rPr>
        <w:t>&lt;/CIBLE&gt;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&lt;/LISTE_CIBLE&gt;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&lt;DATE_DIFFUSION&gt;</w:t>
      </w:r>
      <w:r>
        <w:rPr>
          <w:rFonts w:asciiTheme="minorHAnsi" w:hAnsiTheme="minorHAnsi" w:cstheme="minorHAnsi"/>
          <w:b/>
          <w:color w:val="FF0000"/>
          <w:sz w:val="18"/>
          <w:szCs w:val="18"/>
        </w:rPr>
        <w:t>2012-01-01</w:t>
      </w:r>
      <w:r>
        <w:rPr>
          <w:rFonts w:asciiTheme="minorHAnsi" w:hAnsiTheme="minorHAnsi" w:cstheme="minorHAnsi"/>
          <w:b/>
          <w:color w:val="3333FF"/>
          <w:sz w:val="18"/>
          <w:szCs w:val="18"/>
        </w:rPr>
        <w:t>&lt;/DATE_DIFFUSION&gt;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&lt;LISTE_FICHIER&gt;</w:t>
      </w:r>
    </w:p>
    <w:p>
      <w:pPr>
        <w:pBdr>
          <w:top w:val="single" w:sz="4" w:space="1" w:color="auto"/>
          <w:left w:val="single" w:sz="4" w:space="4" w:color="auto"/>
          <w:bottom w:val="single" w:sz="4" w:space="1" w:color="auto"/>
          <w:right w:val="single" w:sz="4" w:space="4" w:color="auto"/>
        </w:pBdr>
        <w:spacing w:before="0" w:after="0"/>
        <w:ind w:firstLine="993"/>
        <w:rPr>
          <w:rFonts w:asciiTheme="minorHAnsi" w:hAnsiTheme="minorHAnsi" w:cstheme="minorHAnsi"/>
          <w:b/>
          <w:color w:val="3333FF"/>
          <w:sz w:val="18"/>
          <w:szCs w:val="18"/>
        </w:rPr>
      </w:pPr>
      <w:r>
        <w:rPr>
          <w:rFonts w:asciiTheme="minorHAnsi" w:hAnsiTheme="minorHAnsi" w:cstheme="minorHAnsi"/>
          <w:b/>
          <w:color w:val="3333FF"/>
          <w:sz w:val="18"/>
          <w:szCs w:val="18"/>
        </w:rPr>
        <w:tab/>
      </w:r>
      <w:r>
        <w:rPr>
          <w:rFonts w:asciiTheme="minorHAnsi" w:hAnsiTheme="minorHAnsi" w:cstheme="minorHAnsi"/>
          <w:b/>
          <w:color w:val="3333FF"/>
          <w:sz w:val="18"/>
          <w:szCs w:val="18"/>
        </w:rPr>
        <w:tab/>
        <w:t>&lt;FICHIER&gt;</w:t>
      </w:r>
      <w:r>
        <w:t xml:space="preserve"> </w:t>
      </w:r>
      <w:r>
        <w:rPr>
          <w:rFonts w:asciiTheme="minorHAnsi" w:hAnsiTheme="minorHAnsi" w:cstheme="minorHAnsi"/>
          <w:b/>
          <w:bCs/>
          <w:color w:val="FF0000"/>
          <w:sz w:val="18"/>
          <w:szCs w:val="18"/>
        </w:rPr>
        <w:t>INGRES_D_V</w:t>
      </w:r>
      <w:r>
        <w:rPr>
          <w:rFonts w:asciiTheme="minorHAnsi" w:hAnsiTheme="minorHAnsi" w:cstheme="minorHAnsi"/>
          <w:b/>
          <w:color w:val="FF0000"/>
          <w:sz w:val="18"/>
          <w:szCs w:val="18"/>
        </w:rPr>
        <w:t>00.05.10</w:t>
      </w:r>
      <w:r>
        <w:rPr>
          <w:rFonts w:asciiTheme="minorHAnsi" w:hAnsiTheme="minorHAnsi" w:cstheme="minorHAnsi"/>
          <w:b/>
          <w:bCs/>
          <w:color w:val="FF0000"/>
          <w:sz w:val="18"/>
          <w:szCs w:val="18"/>
        </w:rPr>
        <w:t>_F</w:t>
      </w:r>
      <w:r>
        <w:rPr>
          <w:rFonts w:asciiTheme="minorHAnsi" w:hAnsiTheme="minorHAnsi" w:cstheme="minorHAnsi"/>
          <w:b/>
          <w:color w:val="FF0000"/>
          <w:sz w:val="18"/>
          <w:szCs w:val="18"/>
        </w:rPr>
        <w:t>00.05.10</w:t>
      </w:r>
      <w:r>
        <w:rPr>
          <w:rFonts w:asciiTheme="minorHAnsi" w:hAnsiTheme="minorHAnsi" w:cstheme="minorHAnsi"/>
          <w:b/>
          <w:bCs/>
          <w:color w:val="FF0000"/>
          <w:sz w:val="18"/>
          <w:szCs w:val="18"/>
        </w:rPr>
        <w:t xml:space="preserve">_P00_corps_00024.xml </w:t>
      </w:r>
      <w:r>
        <w:rPr>
          <w:rFonts w:asciiTheme="minorHAnsi" w:hAnsiTheme="minorHAnsi" w:cstheme="minorHAnsi"/>
          <w:b/>
          <w:color w:val="3333FF"/>
          <w:sz w:val="18"/>
          <w:szCs w:val="18"/>
        </w:rPr>
        <w:t>&lt;/FICHIER&gt;</w:t>
      </w:r>
    </w:p>
    <w:p>
      <w:pPr>
        <w:pBdr>
          <w:top w:val="single" w:sz="4" w:space="1" w:color="auto"/>
          <w:left w:val="single" w:sz="4" w:space="4" w:color="auto"/>
          <w:bottom w:val="single" w:sz="4" w:space="1" w:color="auto"/>
          <w:right w:val="single" w:sz="4" w:space="4" w:color="auto"/>
        </w:pBdr>
        <w:spacing w:before="0" w:after="0"/>
        <w:ind w:firstLine="993"/>
        <w:rPr>
          <w:rFonts w:asciiTheme="minorHAnsi" w:hAnsiTheme="minorHAnsi" w:cstheme="minorHAnsi"/>
          <w:b/>
          <w:color w:val="3333FF"/>
          <w:sz w:val="18"/>
          <w:szCs w:val="18"/>
        </w:rPr>
      </w:pPr>
      <w:r>
        <w:rPr>
          <w:rFonts w:asciiTheme="minorHAnsi" w:hAnsiTheme="minorHAnsi" w:cstheme="minorHAnsi"/>
          <w:b/>
          <w:color w:val="3333FF"/>
          <w:sz w:val="18"/>
          <w:szCs w:val="18"/>
        </w:rPr>
        <w:tab/>
      </w:r>
      <w:r>
        <w:rPr>
          <w:rFonts w:asciiTheme="minorHAnsi" w:hAnsiTheme="minorHAnsi" w:cstheme="minorHAnsi"/>
          <w:b/>
          <w:color w:val="3333FF"/>
          <w:sz w:val="18"/>
          <w:szCs w:val="18"/>
        </w:rPr>
        <w:tab/>
        <w:t>&lt;FICHIER&gt;</w:t>
      </w:r>
      <w:r>
        <w:rPr>
          <w:rFonts w:asciiTheme="minorHAnsi" w:hAnsiTheme="minorHAnsi" w:cstheme="minorHAnsi"/>
          <w:b/>
          <w:bCs/>
          <w:color w:val="FF0000"/>
          <w:sz w:val="18"/>
          <w:szCs w:val="18"/>
        </w:rPr>
        <w:t xml:space="preserve"> INGRES_D_V</w:t>
      </w:r>
      <w:r>
        <w:rPr>
          <w:rFonts w:asciiTheme="minorHAnsi" w:hAnsiTheme="minorHAnsi" w:cstheme="minorHAnsi"/>
          <w:b/>
          <w:color w:val="FF0000"/>
          <w:sz w:val="18"/>
          <w:szCs w:val="18"/>
        </w:rPr>
        <w:t>00.05.10</w:t>
      </w:r>
      <w:r>
        <w:rPr>
          <w:rFonts w:asciiTheme="minorHAnsi" w:hAnsiTheme="minorHAnsi" w:cstheme="minorHAnsi"/>
          <w:b/>
          <w:bCs/>
          <w:color w:val="FF0000"/>
          <w:sz w:val="18"/>
          <w:szCs w:val="18"/>
        </w:rPr>
        <w:t>_F</w:t>
      </w:r>
      <w:r>
        <w:rPr>
          <w:rFonts w:asciiTheme="minorHAnsi" w:hAnsiTheme="minorHAnsi" w:cstheme="minorHAnsi"/>
          <w:b/>
          <w:color w:val="FF0000"/>
          <w:sz w:val="18"/>
          <w:szCs w:val="18"/>
        </w:rPr>
        <w:t>00.05.10</w:t>
      </w:r>
      <w:r>
        <w:rPr>
          <w:rFonts w:asciiTheme="minorHAnsi" w:hAnsiTheme="minorHAnsi" w:cstheme="minorHAnsi"/>
          <w:b/>
          <w:bCs/>
          <w:color w:val="FF0000"/>
          <w:sz w:val="18"/>
          <w:szCs w:val="18"/>
        </w:rPr>
        <w:t xml:space="preserve">_P00_grades_00030x.xml </w:t>
      </w:r>
      <w:r>
        <w:rPr>
          <w:rFonts w:asciiTheme="minorHAnsi" w:hAnsiTheme="minorHAnsi" w:cstheme="minorHAnsi"/>
          <w:b/>
          <w:color w:val="3333FF"/>
          <w:sz w:val="18"/>
          <w:szCs w:val="18"/>
        </w:rPr>
        <w:t>&lt;/FICHIER&gt;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&lt;/LISTE_FICHIER&gt;</w:t>
      </w:r>
    </w:p>
    <w:p>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3333FF"/>
          <w:sz w:val="18"/>
          <w:szCs w:val="18"/>
        </w:rPr>
      </w:pPr>
      <w:r>
        <w:rPr>
          <w:rFonts w:asciiTheme="minorHAnsi" w:hAnsiTheme="minorHAnsi" w:cstheme="minorHAnsi"/>
          <w:b/>
          <w:color w:val="3333FF"/>
          <w:sz w:val="18"/>
          <w:szCs w:val="18"/>
        </w:rPr>
        <w:t>&lt;/RACINE&gt;</w:t>
      </w:r>
    </w:p>
    <w:p>
      <w:pPr>
        <w:suppressAutoHyphens w:val="0"/>
        <w:spacing w:line="240" w:lineRule="auto"/>
        <w:jc w:val="both"/>
      </w:pPr>
    </w:p>
    <w:p>
      <w:pPr>
        <w:suppressAutoHyphens w:val="0"/>
        <w:spacing w:line="240" w:lineRule="auto"/>
        <w:jc w:val="both"/>
      </w:pPr>
      <w:r>
        <w:t>Fichier référentiel : corps</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lastRenderedPageBreak/>
        <w:t>&lt;ENTETE&gt;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sz w:val="18"/>
          <w:szCs w:val="18"/>
        </w:rPr>
        <w:tab/>
      </w:r>
      <w:r>
        <w:rPr>
          <w:rFonts w:ascii="Calibri" w:hAnsi="Calibri"/>
          <w:b/>
          <w:color w:val="3333FF"/>
          <w:sz w:val="18"/>
          <w:szCs w:val="18"/>
        </w:rPr>
        <w:t>&lt;VERSION_DIFFUSION&gt;</w:t>
      </w:r>
      <w:r>
        <w:rPr>
          <w:rFonts w:asciiTheme="minorHAnsi" w:hAnsiTheme="minorHAnsi" w:cstheme="minorHAnsi"/>
          <w:b/>
          <w:color w:val="FF0000"/>
          <w:sz w:val="18"/>
          <w:szCs w:val="18"/>
        </w:rPr>
        <w:t>00.05.10</w:t>
      </w:r>
      <w:r>
        <w:rPr>
          <w:rFonts w:ascii="Calibri" w:hAnsi="Calibr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 VERSION_FORMAT_XML &gt;</w:t>
      </w:r>
      <w:r>
        <w:rPr>
          <w:rFonts w:asciiTheme="minorHAnsi" w:hAnsiTheme="minorHAnsi" w:cstheme="minorHAnsi"/>
          <w:b/>
          <w:color w:val="FF0000"/>
          <w:sz w:val="18"/>
          <w:szCs w:val="18"/>
        </w:rPr>
        <w:t>00.05.10</w:t>
      </w:r>
      <w:r>
        <w:rPr>
          <w:rFonts w:ascii="Calibri" w:hAnsi="Calibri"/>
          <w:b/>
          <w:color w:val="3333FF"/>
          <w:sz w:val="18"/>
          <w:szCs w:val="18"/>
        </w:rPr>
        <w:t>&lt;/VERSION_FORMAT_XML &gt;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&lt;ID_DIFFUSION&gt;</w:t>
      </w:r>
      <w:r>
        <w:rPr>
          <w:rFonts w:ascii="Calibri" w:hAnsi="Calibri"/>
          <w:b/>
          <w:color w:val="FF0000"/>
          <w:sz w:val="18"/>
          <w:szCs w:val="18"/>
        </w:rPr>
        <w:t>0000001</w:t>
      </w:r>
      <w:r>
        <w:rPr>
          <w:rFonts w:ascii="Calibri" w:hAnsi="Calibri"/>
          <w:b/>
          <w:color w:val="3333FF"/>
          <w:sz w:val="18"/>
          <w:szCs w:val="18"/>
        </w:rPr>
        <w:t>&lt;/ID_DIFFUSION&gt;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ab/>
        <w:t>&lt;ID_TRANSFERT&gt;</w:t>
      </w:r>
      <w:r>
        <w:rPr>
          <w:rFonts w:ascii="Calibri" w:hAnsi="Calibri"/>
          <w:b/>
          <w:color w:val="FF0000"/>
          <w:sz w:val="18"/>
          <w:szCs w:val="18"/>
        </w:rPr>
        <w:t>0000002</w:t>
      </w:r>
      <w:r>
        <w:rPr>
          <w:rFonts w:ascii="Calibri" w:hAnsi="Calibri"/>
          <w:b/>
          <w:color w:val="3333FF"/>
          <w:sz w:val="18"/>
          <w:szCs w:val="18"/>
        </w:rPr>
        <w:t>&lt;/ID_TRANSFERT&gt;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w:t>
      </w:r>
    </w:p>
    <w:p>
      <w:pPr>
        <w:spacing w:after="0"/>
        <w:jc w:val="both"/>
        <w:rPr>
          <w:lang w:val="da-DK"/>
        </w:rPr>
      </w:pPr>
      <w:r>
        <w:rPr>
          <w:lang w:val="da-DK"/>
        </w:rPr>
        <w:t xml:space="preserve">Le format de la nomenclature CORPS n’ayant pas évolué entre les version 00.04.00 et 00.05.10 du Noyau RH FPE, le contenu de la balise &lt;DONNEES_MAJ&gt; est le même que la </w:t>
      </w:r>
    </w:p>
    <w:p>
      <w:pPr>
        <w:spacing w:before="0"/>
        <w:jc w:val="both"/>
        <w:rPr>
          <w:lang w:val="da-DK"/>
        </w:rPr>
      </w:pPr>
      <w:r>
        <w:rPr>
          <w:lang w:val="da-DK"/>
        </w:rPr>
        <w:t>version du format XML soit la version 00.04.00 ou laversion 00.05.10. Seule l’entête du fichier et plus précisément le numéro de version du format XML est différent.</w:t>
      </w:r>
    </w:p>
    <w:p>
      <w:pPr>
        <w:pStyle w:val="ONPCorpsdetexte"/>
        <w:jc w:val="both"/>
        <w:rPr>
          <w:color w:val="FF0000"/>
          <w:lang w:val="da-DK"/>
        </w:rPr>
      </w:pPr>
    </w:p>
    <w:p>
      <w:pPr>
        <w:jc w:val="both"/>
        <w:rPr>
          <w:lang w:val="da-DK"/>
        </w:rPr>
      </w:pPr>
      <w:r>
        <w:rPr>
          <w:lang w:val="da-DK"/>
        </w:rPr>
        <w:t>Le format de la nomenclature GRADE a évolué entre les version 00.04.00 et 00.05.10 du Noyau RH FPE. Le format de la nomenclature grade s’est en effet enrichi d’un nouvel attribut (R_REL_CODNNE) qui apparait dans l’exemple de fichier ci-dessous.</w:t>
      </w:r>
    </w:p>
    <w:p>
      <w:pPr>
        <w:pStyle w:val="ONPCorpsdetexte"/>
        <w:rPr>
          <w:color w:val="FF0000"/>
          <w:lang w:val="da-DK"/>
        </w:rPr>
      </w:pPr>
    </w:p>
    <w:p>
      <w:pPr>
        <w:rPr>
          <w:rFonts w:ascii="Calibri" w:hAnsi="Calibri"/>
          <w:sz w:val="18"/>
          <w:szCs w:val="18"/>
        </w:rPr>
      </w:pPr>
    </w:p>
    <w:p>
      <w:pPr>
        <w:rPr>
          <w:rFonts w:ascii="Calibri" w:hAnsi="Calibri"/>
          <w:b/>
          <w:bCs/>
          <w:sz w:val="18"/>
          <w:szCs w:val="18"/>
        </w:rPr>
      </w:pPr>
      <w:r>
        <w:rPr>
          <w:rFonts w:ascii="Calibri" w:hAnsi="Calibri"/>
          <w:sz w:val="18"/>
          <w:szCs w:val="18"/>
        </w:rPr>
        <w:t xml:space="preserve">Fichier référentiel : </w:t>
      </w:r>
      <w:r>
        <w:t>GRADES</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&lt;ENTETE&gt;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sz w:val="18"/>
          <w:szCs w:val="18"/>
        </w:rPr>
        <w:tab/>
      </w:r>
      <w:r>
        <w:rPr>
          <w:rFonts w:ascii="Calibri" w:hAnsi="Calibri"/>
          <w:b/>
          <w:color w:val="3333FF"/>
          <w:sz w:val="18"/>
          <w:szCs w:val="18"/>
        </w:rPr>
        <w:t>&lt;VERSION_DIFFUSION&gt;</w:t>
      </w:r>
      <w:r>
        <w:rPr>
          <w:rFonts w:asciiTheme="minorHAnsi" w:hAnsiTheme="minorHAnsi" w:cstheme="minorHAnsi"/>
          <w:b/>
          <w:color w:val="FF0000"/>
          <w:sz w:val="18"/>
          <w:szCs w:val="18"/>
        </w:rPr>
        <w:t>00.05.10</w:t>
      </w:r>
      <w:r>
        <w:rPr>
          <w:rFonts w:ascii="Calibri" w:hAnsi="Calibr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 VERSION_FORMAT_XML &gt;</w:t>
      </w:r>
      <w:r>
        <w:rPr>
          <w:rFonts w:ascii="Calibri" w:hAnsi="Calibri"/>
          <w:b/>
          <w:color w:val="FF0000"/>
          <w:sz w:val="18"/>
          <w:szCs w:val="18"/>
        </w:rPr>
        <w:t>00.05.10</w:t>
      </w:r>
      <w:r>
        <w:rPr>
          <w:rFonts w:ascii="Calibri" w:hAnsi="Calibri"/>
          <w:b/>
          <w:color w:val="3333FF"/>
          <w:sz w:val="18"/>
          <w:szCs w:val="18"/>
        </w:rPr>
        <w:t>&lt;/VERSION_FORMAT_XML &gt;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&lt;ID_DIFFUSION&gt;</w:t>
      </w:r>
      <w:r>
        <w:rPr>
          <w:rFonts w:ascii="Calibri" w:hAnsi="Calibri"/>
          <w:b/>
          <w:color w:val="FF0000"/>
          <w:sz w:val="18"/>
          <w:szCs w:val="18"/>
        </w:rPr>
        <w:t>0000001</w:t>
      </w:r>
      <w:r>
        <w:rPr>
          <w:rFonts w:ascii="Calibri" w:hAnsi="Calibri"/>
          <w:b/>
          <w:color w:val="3333FF"/>
          <w:sz w:val="18"/>
          <w:szCs w:val="18"/>
        </w:rPr>
        <w:t>&lt;/ID_DIFFUSION&gt;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ab/>
        <w:t>&lt;ID_TRANSFERT&gt;</w:t>
      </w:r>
      <w:r>
        <w:rPr>
          <w:rFonts w:ascii="Calibri" w:hAnsi="Calibri"/>
          <w:b/>
          <w:color w:val="FF0000"/>
          <w:sz w:val="18"/>
          <w:szCs w:val="18"/>
        </w:rPr>
        <w:t>0000002</w:t>
      </w:r>
      <w:r>
        <w:rPr>
          <w:rFonts w:ascii="Calibri" w:hAnsi="Calibri"/>
          <w:b/>
          <w:color w:val="3333FF"/>
          <w:sz w:val="18"/>
          <w:szCs w:val="18"/>
        </w:rPr>
        <w:t>&lt;/ID_TRANSFERT&gt;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&lt;ID_REF&gt;</w:t>
      </w:r>
      <w:r>
        <w:rPr>
          <w:rFonts w:ascii="Calibri" w:hAnsi="Calibri"/>
          <w:b/>
          <w:bCs/>
          <w:color w:val="FF0000"/>
          <w:sz w:val="18"/>
          <w:szCs w:val="18"/>
          <w:lang w:val="da-DK"/>
        </w:rPr>
        <w:t xml:space="preserve"> GRADE</w:t>
      </w:r>
      <w:r>
        <w:rPr>
          <w:rFonts w:ascii="Calibri" w:hAnsi="Calibri"/>
          <w:b/>
          <w:color w:val="3333FF"/>
          <w:sz w:val="18"/>
          <w:szCs w:val="18"/>
        </w:rPr>
        <w:t xml:space="preserve"> &lt;/ID_REF&gt;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&lt;MODE_MAJ&gt;</w:t>
      </w:r>
      <w:r>
        <w:rPr>
          <w:rFonts w:ascii="Calibri" w:hAnsi="Calibri"/>
          <w:b/>
          <w:color w:val="FF0000"/>
          <w:sz w:val="18"/>
          <w:szCs w:val="18"/>
        </w:rPr>
        <w:t>D</w:t>
      </w:r>
      <w:r>
        <w:rPr>
          <w:rFonts w:ascii="Calibri" w:hAnsi="Calibri"/>
          <w:b/>
          <w:color w:val="3333FF"/>
          <w:sz w:val="18"/>
          <w:szCs w:val="18"/>
        </w:rPr>
        <w:t>&lt;/MODE_MAJ&gt;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&lt;NB_SIT_NOM&gt;</w:t>
      </w:r>
      <w:r>
        <w:rPr>
          <w:rFonts w:ascii="Calibri" w:hAnsi="Calibri"/>
          <w:b/>
          <w:color w:val="FF0000"/>
          <w:sz w:val="18"/>
          <w:szCs w:val="18"/>
          <w:lang w:val="da-DK"/>
        </w:rPr>
        <w:t>4</w:t>
      </w:r>
      <w:r>
        <w:rPr>
          <w:rFonts w:ascii="Calibri" w:hAnsi="Calibri"/>
          <w:b/>
          <w:color w:val="3333FF"/>
          <w:sz w:val="18"/>
          <w:szCs w:val="18"/>
          <w:lang w:val="da-DK"/>
        </w:rPr>
        <w:t>&lt;/NB_SIT_NOM&gt;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noProof/>
          <w:color w:val="3366FF"/>
          <w:sz w:val="18"/>
          <w:szCs w:val="18"/>
          <w:lang w:eastAsia="fr-FR"/>
        </w:rPr>
        <mc:AlternateContent>
          <mc:Choice Requires="wps">
            <w:drawing>
              <wp:anchor distT="0" distB="0" distL="114300" distR="114300" simplePos="0" relativeHeight="251696128" behindDoc="0" locked="0" layoutInCell="1" allowOverlap="1">
                <wp:simplePos x="0" y="0"/>
                <wp:positionH relativeFrom="column">
                  <wp:posOffset>3585845</wp:posOffset>
                </wp:positionH>
                <wp:positionV relativeFrom="paragraph">
                  <wp:posOffset>118110</wp:posOffset>
                </wp:positionV>
                <wp:extent cx="1828800" cy="1211580"/>
                <wp:effectExtent l="0" t="0" r="19050" b="2667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1580"/>
                        </a:xfrm>
                        <a:prstGeom prst="rect">
                          <a:avLst/>
                        </a:prstGeom>
                        <a:solidFill>
                          <a:srgbClr val="FFFFFF"/>
                        </a:solidFill>
                        <a:ln w="9525">
                          <a:solidFill>
                            <a:srgbClr val="000000"/>
                          </a:solidFill>
                          <a:miter lim="800000"/>
                          <a:headEnd/>
                          <a:tailEnd/>
                        </a:ln>
                      </wps:spPr>
                      <wps:txbx>
                        <w:txbxContent>
                          <w:p>
                            <w:r>
                              <w:t>Historisation de l’information associée au grade G0010 suite à la mise à jour de la sous-catégorie associée dans la version 02.08.00.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5668" id="Zone de texte 57" o:spid="_x0000_s1041" type="#_x0000_t202" style="position:absolute;left:0;text-align:left;margin-left:282.35pt;margin-top:9.3pt;width:2in;height:9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">
                <v:textbox>
                  <w:txbxContent>
                    <w:p w:rsidR="00FA450F" w:rsidRDefault="00FA450F" w:rsidP="00C36ACB">
                      <w:r>
                        <w:t>Historisation de l’information associée au grade G0010 suite à la mise à jour de la sous-catégorie associée dans la version 02.08.00.</w:t>
                      </w:r>
                    </w:p>
                  </w:txbxContent>
                </v:textbox>
              </v:shape>
            </w:pict>
          </mc:Fallback>
        </mc:AlternateContent>
      </w:r>
      <w:r>
        <w:rPr>
          <w:rFonts w:ascii="Calibri" w:hAnsi="Calibri"/>
          <w:b/>
          <w:color w:val="3333FF"/>
          <w:sz w:val="18"/>
          <w:szCs w:val="18"/>
          <w:lang w:val="da-DK"/>
        </w:rPr>
        <w:t>&lt;/ENTETE&gt;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color w:val="3333FF"/>
          <w:sz w:val="18"/>
          <w:szCs w:val="18"/>
          <w:lang w:val="da-DK"/>
        </w:rPr>
        <w:t>&lt;DONNEES_MAJ&gt;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color w:val="3333FF"/>
          <w:sz w:val="18"/>
          <w:szCs w:val="18"/>
          <w:lang w:val="da-DK"/>
        </w:rPr>
        <w:tab/>
        <w:t>&lt;R_GRADE&gt;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&lt;VERSION_SIT_NOM&gt;</w:t>
      </w:r>
      <w:r>
        <w:rPr>
          <w:rFonts w:ascii="Calibri" w:hAnsi="Calibri"/>
          <w:b/>
          <w:color w:val="FF0000"/>
          <w:sz w:val="18"/>
          <w:szCs w:val="18"/>
          <w:lang w:val="da-DK"/>
        </w:rPr>
        <w:t>02.08.00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 xml:space="preserve"> &lt;R_FOR_IDEN05&gt;</w:t>
      </w:r>
      <w:r>
        <w:rPr>
          <w:rFonts w:ascii="Calibri" w:hAnsi="Calibri"/>
          <w:b/>
          <w:color w:val="FF0000"/>
          <w:sz w:val="18"/>
          <w:szCs w:val="18"/>
          <w:lang w:val="da-DK"/>
        </w:rPr>
        <w:t>G0010</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2012-05-31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 </w:t>
      </w:r>
      <w:r>
        <w:rPr>
          <w:rFonts w:ascii="Calibri" w:hAnsi="Calibri"/>
          <w:b/>
          <w:color w:val="FF0000"/>
          <w:sz w:val="18"/>
          <w:szCs w:val="18"/>
          <w:lang w:val="pt-BR"/>
        </w:rPr>
        <w:t>Grade 10</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10</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10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10</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10</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lastRenderedPageBreak/>
        <w:t>&lt;R_REL_CORPS&gt;</w:t>
      </w:r>
      <w:r>
        <w:rPr>
          <w:rFonts w:ascii="Calibri" w:hAnsi="Calibri"/>
          <w:b/>
          <w:color w:val="FF0000"/>
          <w:sz w:val="18"/>
          <w:szCs w:val="18"/>
          <w:lang w:val="pt-BR"/>
        </w:rPr>
        <w:t>C0001|2010-01-01</w:t>
      </w:r>
      <w:r>
        <w:rPr>
          <w:rFonts w:ascii="Calibri" w:hAnsi="Calibri"/>
          <w:b/>
          <w:color w:val="3333FF"/>
          <w:sz w:val="18"/>
          <w:szCs w:val="18"/>
          <w:lang w:val="pt-BR"/>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&lt;R_REL_GRIIND&gt;</w:t>
      </w:r>
      <w:r>
        <w:rPr>
          <w:rFonts w:ascii="Calibri" w:hAnsi="Calibri"/>
          <w:b/>
          <w:color w:val="FF0000"/>
          <w:sz w:val="18"/>
          <w:szCs w:val="18"/>
          <w:lang w:val="pt-BR"/>
        </w:rPr>
        <w:t>GIND1</w:t>
      </w:r>
      <w:r>
        <w:rPr>
          <w:rFonts w:ascii="Calibri" w:hAnsi="Calibri"/>
          <w:b/>
          <w:color w:val="3333FF"/>
          <w:sz w:val="18"/>
          <w:szCs w:val="18"/>
          <w:lang w:val="pt-BR"/>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&lt;R_REL_CODNNE/&gt;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95104" behindDoc="0" locked="0" layoutInCell="1" allowOverlap="1">
                <wp:simplePos x="0" y="0"/>
                <wp:positionH relativeFrom="column">
                  <wp:posOffset>3826584</wp:posOffset>
                </wp:positionH>
                <wp:positionV relativeFrom="paragraph">
                  <wp:posOffset>90879</wp:posOffset>
                </wp:positionV>
                <wp:extent cx="1828800" cy="1983179"/>
                <wp:effectExtent l="0" t="0" r="19050" b="17145"/>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83179"/>
                        </a:xfrm>
                        <a:prstGeom prst="rect">
                          <a:avLst/>
                        </a:prstGeom>
                        <a:solidFill>
                          <a:srgbClr val="FFFFFF"/>
                        </a:solidFill>
                        <a:ln w="9525">
                          <a:solidFill>
                            <a:srgbClr val="000000"/>
                          </a:solidFill>
                          <a:miter lim="800000"/>
                          <a:headEnd/>
                          <a:tailEnd/>
                        </a:ln>
                      </wps:spPr>
                      <wps:txbx>
                        <w:txbxContent>
                          <w:p>
                            <w:r>
                              <w:t>Historisation de l’information associée au grade G0010 suite à la mise à jour la grille indiciaire le 01/06/2012.</w:t>
                            </w:r>
                          </w:p>
                          <w:p>
                            <w:r>
                              <w:t xml:space="preserve">Cette mise à jour implique la diffusion de tout l’historique associé grade G0010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2E8C" id="Zone de texte 58" o:spid="_x0000_s1042" type="#_x0000_t202" style="position:absolute;left:0;text-align:left;margin-left:301.3pt;margin-top:7.15pt;width:2in;height:15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">
                <v:textbox>
                  <w:txbxContent>
                    <w:p w:rsidR="00FA450F" w:rsidRDefault="00FA450F" w:rsidP="00C36ACB">
                      <w:r>
                        <w:t>Historisation de l’information associée au grade G0010 suite à la mise à jour la grille indiciaire le 01/06/2012.</w:t>
                      </w:r>
                    </w:p>
                    <w:p w:rsidR="00FA450F" w:rsidRDefault="00FA450F" w:rsidP="00C36ACB">
                      <w:r>
                        <w:t xml:space="preserve">Cette mise à jour implique la diffusion de tout l’historique associé grade G0010 </w:t>
                      </w:r>
                    </w:p>
                  </w:txbxContent>
                </v:textbox>
              </v:shape>
            </w:pict>
          </mc:Fallback>
        </mc:AlternateContent>
      </w: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&lt;/R_GRADE&gt;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 xml:space="preserve"> &lt;R_GRADE&gt;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pt-BR"/>
        </w:rPr>
        <w:tab/>
      </w:r>
      <w:r>
        <w:rPr>
          <w:rFonts w:ascii="Calibri" w:hAnsi="Calibri"/>
          <w:b/>
          <w:color w:val="3333FF"/>
          <w:sz w:val="18"/>
          <w:szCs w:val="18"/>
          <w:lang w:val="pt-BR"/>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l"/>
        </w:rPr>
      </w:pPr>
      <w:r>
        <w:rPr>
          <w:rFonts w:ascii="Calibri" w:hAnsi="Calibri"/>
          <w:b/>
          <w:color w:val="3333FF"/>
          <w:sz w:val="18"/>
          <w:szCs w:val="18"/>
          <w:lang w:val="da-DK"/>
        </w:rPr>
        <w:tab/>
      </w:r>
      <w:r>
        <w:rPr>
          <w:rFonts w:ascii="Calibri" w:hAnsi="Calibri"/>
          <w:b/>
          <w:color w:val="3333FF"/>
          <w:sz w:val="18"/>
          <w:szCs w:val="18"/>
          <w:lang w:val="da-DK"/>
        </w:rPr>
        <w:tab/>
      </w:r>
      <w:r>
        <w:rPr>
          <w:rFonts w:ascii="Calibri" w:hAnsi="Calibri"/>
          <w:b/>
          <w:color w:val="3333FF"/>
          <w:sz w:val="18"/>
          <w:szCs w:val="18"/>
          <w:lang w:val="pl"/>
        </w:rPr>
        <w:t>&lt;TYPE_MAJ&gt;</w:t>
      </w:r>
      <w:r>
        <w:rPr>
          <w:rFonts w:ascii="Calibri" w:hAnsi="Calibri"/>
          <w:b/>
          <w:color w:val="FF0000"/>
          <w:sz w:val="18"/>
          <w:szCs w:val="18"/>
          <w:lang w:val="pl"/>
        </w:rPr>
        <w:t>A</w:t>
      </w:r>
      <w:r>
        <w:rPr>
          <w:rFonts w:ascii="Calibri" w:hAnsi="Calibri"/>
          <w:b/>
          <w:color w:val="3333FF"/>
          <w:sz w:val="18"/>
          <w:szCs w:val="18"/>
          <w:lang w:val="pl"/>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pl"/>
        </w:rPr>
        <w:t xml:space="preserve"> </w:t>
      </w:r>
      <w:r>
        <w:rPr>
          <w:rFonts w:ascii="Calibri" w:hAnsi="Calibri"/>
          <w:b/>
          <w:color w:val="3333FF"/>
          <w:sz w:val="18"/>
          <w:szCs w:val="18"/>
          <w:lang w:val="da-DK"/>
        </w:rPr>
        <w:t>&lt;R_FOR_IDEN05&gt;</w:t>
      </w:r>
      <w:r>
        <w:rPr>
          <w:rFonts w:ascii="Calibri" w:hAnsi="Calibri"/>
          <w:b/>
          <w:color w:val="FF0000"/>
          <w:sz w:val="18"/>
          <w:szCs w:val="18"/>
          <w:lang w:val="da-DK"/>
        </w:rPr>
        <w:t>G0010</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2012-06-01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&lt;R_FOR_LIBCOU&gt;Nouveau  </w:t>
      </w:r>
      <w:r>
        <w:rPr>
          <w:rFonts w:ascii="Calibri" w:hAnsi="Calibri"/>
          <w:b/>
          <w:color w:val="FF0000"/>
          <w:sz w:val="18"/>
          <w:szCs w:val="18"/>
          <w:lang w:val="pt-BR"/>
        </w:rPr>
        <w:t>Grade 10</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10</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10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10</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10</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&lt;R_REL_CORPS&gt;</w:t>
      </w:r>
      <w:r>
        <w:rPr>
          <w:rFonts w:ascii="Calibri" w:hAnsi="Calibri"/>
          <w:b/>
          <w:color w:val="FF0000"/>
          <w:sz w:val="18"/>
          <w:szCs w:val="18"/>
          <w:lang w:val="pt-BR"/>
        </w:rPr>
        <w:t>C0001|2010-01-01</w:t>
      </w:r>
      <w:r>
        <w:rPr>
          <w:rFonts w:ascii="Calibri" w:hAnsi="Calibri"/>
          <w:b/>
          <w:color w:val="3333FF"/>
          <w:sz w:val="18"/>
          <w:szCs w:val="18"/>
          <w:lang w:val="pt-BR"/>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&lt;R_REL_GRIIND&gt;</w:t>
      </w:r>
      <w:r>
        <w:rPr>
          <w:rFonts w:ascii="Calibri" w:hAnsi="Calibri"/>
          <w:b/>
          <w:color w:val="FF0000"/>
          <w:sz w:val="18"/>
          <w:szCs w:val="18"/>
          <w:lang w:val="pt-BR"/>
        </w:rPr>
        <w:t xml:space="preserve"> GIND2</w:t>
      </w:r>
      <w:r>
        <w:rPr>
          <w:rFonts w:ascii="Calibri" w:hAnsi="Calibri"/>
          <w:b/>
          <w:color w:val="3333FF"/>
          <w:sz w:val="18"/>
          <w:szCs w:val="18"/>
          <w:lang w:val="pt-BR"/>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&lt;R_REL_CODNNE/&gt;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ab/>
        <w:t>&lt;/R_GRADE&gt;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97152" behindDoc="0" locked="0" layoutInCell="1" allowOverlap="1">
                <wp:simplePos x="0" y="0"/>
                <wp:positionH relativeFrom="column">
                  <wp:posOffset>3703320</wp:posOffset>
                </wp:positionH>
                <wp:positionV relativeFrom="paragraph">
                  <wp:posOffset>39370</wp:posOffset>
                </wp:positionV>
                <wp:extent cx="1828800" cy="1672590"/>
                <wp:effectExtent l="0" t="0" r="19050" b="2286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72590"/>
                        </a:xfrm>
                        <a:prstGeom prst="rect">
                          <a:avLst/>
                        </a:prstGeom>
                        <a:solidFill>
                          <a:srgbClr val="FFFFFF"/>
                        </a:solidFill>
                        <a:ln w="9525">
                          <a:solidFill>
                            <a:srgbClr val="000000"/>
                          </a:solidFill>
                          <a:miter lim="800000"/>
                          <a:headEnd/>
                          <a:tailEnd/>
                        </a:ln>
                      </wps:spPr>
                      <wps:txbx>
                        <w:txbxContent>
                          <w:p>
                            <w:r>
                              <w:t>Clôture du grade G0099 associée à la clôture du corps C0099 au 31/07/2012.</w:t>
                            </w:r>
                          </w:p>
                          <w:p>
                            <w:r>
                              <w:t>Cette mise à jour implique la diffusion de tout l’historique associé grade G0099</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0C05" id="Zone de texte 59" o:spid="_x0000_s1043" type="#_x0000_t202" style="position:absolute;left:0;text-align:left;margin-left:291.6pt;margin-top:3.1pt;width:2in;height:13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">
                <v:textbox>
                  <w:txbxContent>
                    <w:p w:rsidR="00FA450F" w:rsidRDefault="00FA450F" w:rsidP="00C36ACB">
                      <w:r>
                        <w:t>Clôture du grade G0099 associée à la clôture du corps C0099 au 31/07/2012.</w:t>
                      </w:r>
                    </w:p>
                    <w:p w:rsidR="00FA450F" w:rsidRDefault="00FA450F" w:rsidP="00C36ACB">
                      <w:r>
                        <w:t>Cette mise à jour implique la diffusion de tout l’historique associé grade G0099</w:t>
                      </w:r>
                    </w:p>
                    <w:p w:rsidR="00FA450F" w:rsidRDefault="00FA450F" w:rsidP="00C36ACB"/>
                  </w:txbxContent>
                </v:textbox>
              </v:shape>
            </w:pict>
          </mc:Fallback>
        </mc:AlternateContent>
      </w:r>
      <w:r>
        <w:rPr>
          <w:rFonts w:ascii="Calibri" w:hAnsi="Calibri"/>
          <w:b/>
          <w:color w:val="3333FF"/>
          <w:sz w:val="18"/>
          <w:szCs w:val="18"/>
          <w:lang w:val="pt-BR"/>
        </w:rPr>
        <w:t xml:space="preserve"> &lt;R_GRADE&gt;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&lt;R_FOR_IDEN05&gt;</w:t>
      </w:r>
      <w:r>
        <w:rPr>
          <w:rFonts w:ascii="Calibri" w:hAnsi="Calibri"/>
          <w:b/>
          <w:color w:val="FF0000"/>
          <w:sz w:val="18"/>
          <w:szCs w:val="18"/>
          <w:lang w:val="da-DK"/>
        </w:rPr>
        <w:t>G0099</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1900-01-01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2012-07-31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lastRenderedPageBreak/>
        <w:t xml:space="preserve">&lt;R_FOR_LIBCOU&gt; </w:t>
      </w:r>
      <w:r>
        <w:rPr>
          <w:rFonts w:ascii="Calibri" w:hAnsi="Calibri"/>
          <w:b/>
          <w:color w:val="FF0000"/>
          <w:sz w:val="18"/>
          <w:szCs w:val="18"/>
          <w:lang w:val="pt-BR"/>
        </w:rPr>
        <w:t>Grade 99</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99</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99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99</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99</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en-GB"/>
        </w:rPr>
      </w:pPr>
      <w:r>
        <w:rPr>
          <w:rFonts w:ascii="Calibri" w:hAnsi="Calibri"/>
          <w:b/>
          <w:color w:val="3333FF"/>
          <w:sz w:val="18"/>
          <w:szCs w:val="18"/>
          <w:lang w:val="en-GB"/>
        </w:rPr>
        <w:t>&lt;R_REL_CORPS&gt;</w:t>
      </w:r>
      <w:r>
        <w:rPr>
          <w:rFonts w:ascii="Calibri" w:hAnsi="Calibri"/>
          <w:b/>
          <w:color w:val="FF0000"/>
          <w:sz w:val="18"/>
          <w:szCs w:val="18"/>
          <w:lang w:val="en-GB"/>
        </w:rPr>
        <w:t>C0099|1900-01-01</w:t>
      </w:r>
      <w:r>
        <w:rPr>
          <w:rFonts w:ascii="Calibri" w:hAnsi="Calibri"/>
          <w:b/>
          <w:color w:val="3333FF"/>
          <w:sz w:val="18"/>
          <w:szCs w:val="18"/>
          <w:lang w:val="en-GB"/>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en-GB"/>
        </w:rPr>
      </w:pPr>
      <w:r>
        <w:rPr>
          <w:rFonts w:ascii="Calibri" w:hAnsi="Calibri"/>
          <w:b/>
          <w:color w:val="3333FF"/>
          <w:sz w:val="18"/>
          <w:szCs w:val="18"/>
          <w:lang w:val="en-GB"/>
        </w:rPr>
        <w:t>&lt;R_REL_GRIIND&gt;</w:t>
      </w:r>
      <w:r>
        <w:rPr>
          <w:rFonts w:ascii="Calibri" w:hAnsi="Calibri"/>
          <w:b/>
          <w:color w:val="FF0000"/>
          <w:sz w:val="18"/>
          <w:szCs w:val="18"/>
          <w:lang w:val="en-GB"/>
        </w:rPr>
        <w:t>GIND1</w:t>
      </w:r>
      <w:r>
        <w:rPr>
          <w:rFonts w:ascii="Calibri" w:hAnsi="Calibri"/>
          <w:b/>
          <w:color w:val="3333FF"/>
          <w:sz w:val="18"/>
          <w:szCs w:val="18"/>
          <w:lang w:val="en-GB"/>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&lt;R_REL_CODNNE/&gt;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rPr>
        <w:t xml:space="preserve">              </w:t>
      </w:r>
      <w:r>
        <w:rPr>
          <w:rFonts w:ascii="Calibri" w:hAnsi="Calibri"/>
          <w:b/>
          <w:color w:val="3333FF"/>
          <w:sz w:val="18"/>
          <w:szCs w:val="18"/>
          <w:lang w:val="pt-BR"/>
        </w:rPr>
        <w:t>&lt;R_REL_IDTEXT&gt;</w:t>
      </w:r>
      <w:r>
        <w:rPr>
          <w:rFonts w:ascii="Calibri" w:hAnsi="Calibri"/>
          <w:b/>
          <w:color w:val="FF0000"/>
          <w:sz w:val="18"/>
          <w:szCs w:val="18"/>
          <w:lang w:val="pt-BR"/>
        </w:rPr>
        <w:t>ID000000222</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 xml:space="preserve">              &lt;R_REL_IDTEXT&gt;</w:t>
      </w:r>
      <w:r>
        <w:rPr>
          <w:rFonts w:ascii="Calibri" w:hAnsi="Calibri"/>
          <w:b/>
          <w:color w:val="FF0000"/>
          <w:sz w:val="18"/>
          <w:szCs w:val="18"/>
        </w:rPr>
        <w:t>ID000000333</w:t>
      </w:r>
      <w:r>
        <w:rPr>
          <w:rFonts w:ascii="Calibri" w:hAnsi="Calibri"/>
          <w:b/>
          <w:color w:val="3333FF"/>
          <w:sz w:val="18"/>
          <w:szCs w:val="18"/>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2</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66FF"/>
          <w:sz w:val="18"/>
          <w:szCs w:val="18"/>
        </w:rPr>
        <w:tab/>
      </w:r>
      <w:r>
        <w:rPr>
          <w:rFonts w:ascii="Calibri" w:hAnsi="Calibri"/>
          <w:b/>
          <w:color w:val="3333FF"/>
          <w:sz w:val="18"/>
          <w:szCs w:val="18"/>
          <w:lang w:val="pt-BR"/>
        </w:rPr>
        <w:t>&lt;/R_GRADE&gt;</w:t>
      </w:r>
      <w:r>
        <w:rPr>
          <w:rFonts w:ascii="Calibri" w:hAnsi="Calibri"/>
          <w:b/>
          <w:color w:val="3333FF"/>
          <w:sz w:val="18"/>
          <w:szCs w:val="18"/>
          <w:lang w:val="pt-BR"/>
        </w:rPr>
        <w:tab/>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lang w:val="pt-BR"/>
        </w:rPr>
      </w:pPr>
      <w:r>
        <w:rPr>
          <w:rFonts w:ascii="Calibri" w:hAnsi="Calibri"/>
          <w:b/>
          <w:color w:val="3333FF"/>
          <w:sz w:val="18"/>
          <w:szCs w:val="18"/>
          <w:lang w:val="pt-BR"/>
        </w:rPr>
        <w:t>&lt;/DONNEES_MAJ&gt;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
      <w:pPr>
        <w:spacing w:before="0" w:after="0" w:line="100" w:lineRule="atLeast"/>
        <w:rPr>
          <w:lang w:val="da-DK"/>
        </w:rPr>
      </w:pPr>
    </w:p>
    <w:p>
      <w:pPr>
        <w:rPr>
          <w:lang w:val="da-DK"/>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150" w:right="1417" w:bottom="1417" w:left="1417" w:header="709"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iliser une police de caractè">
    <w:altName w:val="Arial"/>
    <w:panose1 w:val="00000000000000000000"/>
    <w:charset w:val="00"/>
    <w:family w:val="roman"/>
    <w:notTrueType/>
    <w:pitch w:val="default"/>
  </w:font>
  <w:font w:name="Arial Gras">
    <w:panose1 w:val="020B0704020202020204"/>
    <w:charset w:val="00"/>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single" w:sz="4" w:space="1" w:color="000000"/>
      </w:pBdr>
      <w:tabs>
        <w:tab w:val="center" w:pos="4820"/>
        <w:tab w:val="right" w:pos="9639"/>
      </w:tabs>
      <w:spacing w:after="0"/>
      <w:rPr>
        <w:sz w:val="20"/>
      </w:rPr>
    </w:pPr>
    <w:r>
      <w:rPr>
        <w:sz w:val="20"/>
      </w:rPr>
      <w:tab/>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r>
      <w:rPr>
        <w:sz w:val="20"/>
      </w:rPr>
      <w:t xml:space="preserve"> / </w:t>
    </w:r>
    <w:r>
      <w:rPr>
        <w:sz w:val="20"/>
      </w:rPr>
      <w:fldChar w:fldCharType="begin"/>
    </w:r>
    <w:r>
      <w:rPr>
        <w:sz w:val="20"/>
      </w:rPr>
      <w:instrText xml:space="preserve"> NUMPAGES \*Arabic </w:instrText>
    </w:r>
    <w:r>
      <w:rPr>
        <w:sz w:val="20"/>
      </w:rPr>
      <w:fldChar w:fldCharType="separate"/>
    </w:r>
    <w:r>
      <w:rPr>
        <w:noProof/>
        <w:sz w:val="20"/>
      </w:rPr>
      <w:t>65</w:t>
    </w:r>
    <w:r>
      <w:rPr>
        <w:sz w:val="20"/>
      </w:rPr>
      <w:fldChar w:fldCharType="end"/>
    </w:r>
  </w:p>
  <w:p/>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NormalWeb"/>
        <w:jc w:val="both"/>
      </w:pPr>
      <w:r>
        <w:rPr>
          <w:rStyle w:val="Appelnotedebasdep"/>
        </w:rPr>
        <w:footnoteRef/>
      </w:r>
      <w:r>
        <w:t xml:space="preserve"> </w:t>
      </w:r>
      <w:r>
        <w:rPr>
          <w:sz w:val="18"/>
          <w:szCs w:val="18"/>
        </w:rPr>
        <w:t xml:space="preserve">Une </w:t>
      </w:r>
      <w:r>
        <w:rPr>
          <w:b/>
          <w:bCs/>
          <w:sz w:val="18"/>
          <w:szCs w:val="18"/>
        </w:rPr>
        <w:t>clé étrangère</w:t>
      </w:r>
      <w:r>
        <w:rPr>
          <w:sz w:val="18"/>
          <w:szCs w:val="18"/>
        </w:rPr>
        <w:t>, dans une base de données relationnelle, est une contrainte qui garantit l'intégrité référentielle entre deux tables. Elle identifie une colonne ou un ensemble de colonnes d'une table comme référençant une colonne ou un ensemble de colonnes d'une autre table (la table référencée). La contrainte de clé étrangère garantit que les valeurs de chaque ligne de la table référençant existent dans la table référencée.</w:t>
      </w:r>
    </w:p>
  </w:footnote>
  <w:footnote w:id="2">
    <w:p>
      <w:pPr>
        <w:pStyle w:val="ONPPoint1"/>
        <w:numPr>
          <w:ilvl w:val="0"/>
          <w:numId w:val="0"/>
        </w:numPr>
        <w:jc w:val="both"/>
        <w:rPr>
          <w:rFonts w:cs="Times New Roman"/>
          <w:sz w:val="18"/>
          <w:szCs w:val="18"/>
        </w:rPr>
      </w:pPr>
      <w:r>
        <w:rPr>
          <w:rStyle w:val="Appelnotedebasdep"/>
          <w:sz w:val="18"/>
          <w:szCs w:val="18"/>
        </w:rPr>
        <w:footnoteRef/>
      </w:r>
      <w:r>
        <w:rPr>
          <w:sz w:val="18"/>
          <w:szCs w:val="18"/>
        </w:rPr>
        <w:t xml:space="preserve"> </w:t>
      </w:r>
      <w:r>
        <w:rPr>
          <w:rFonts w:cs="Times New Roman"/>
          <w:b/>
          <w:sz w:val="18"/>
          <w:szCs w:val="18"/>
        </w:rPr>
        <w:t>La clé primaire d’un référentiel</w:t>
      </w:r>
      <w:r>
        <w:rPr>
          <w:rFonts w:cs="Times New Roman"/>
          <w:sz w:val="18"/>
          <w:szCs w:val="18"/>
        </w:rPr>
        <w:t xml:space="preserve"> est un ensemble d’attributs dont la combinaison des </w:t>
      </w:r>
      <w:r>
        <w:rPr>
          <w:rFonts w:cs="Times New Roman"/>
          <w:sz w:val="18"/>
          <w:szCs w:val="18"/>
        </w:rPr>
        <w:tab/>
        <w:t>valeurs permet d’identifier de façon unique une occurrence du référentiel associé. Autrement dit, dans le cas d’un référentiel pouvant avoir plusieurs occurrences identifiées par le même code, la clé primaire permet de distinguer chacune de ces occurrences, en identifiant une ou des données contenant des valeurs différentes pour ce même code.</w:t>
      </w:r>
    </w:p>
    <w:p>
      <w:pPr>
        <w:pStyle w:val="ONPCorpsdetexte"/>
        <w:jc w:val="both"/>
      </w:pPr>
      <w:r>
        <w:rPr>
          <w:b/>
          <w:sz w:val="18"/>
          <w:szCs w:val="18"/>
        </w:rPr>
        <w:t>Exemple</w:t>
      </w:r>
      <w:r>
        <w:rPr>
          <w:sz w:val="18"/>
          <w:szCs w:val="18"/>
        </w:rPr>
        <w:t> : la clé primaire du référentiel « ECHELON » est constituée des attributs « R_FOR_IDEN</w:t>
      </w:r>
      <w:proofErr w:type="gramStart"/>
      <w:r>
        <w:rPr>
          <w:sz w:val="18"/>
          <w:szCs w:val="18"/>
        </w:rPr>
        <w:t>05:</w:t>
      </w:r>
      <w:proofErr w:type="gramEnd"/>
      <w:r>
        <w:rPr>
          <w:sz w:val="18"/>
          <w:szCs w:val="18"/>
        </w:rPr>
        <w:t xml:space="preserve"> Identifiant » et « R_FOR_DATDEB : Date de début ».</w:t>
      </w:r>
    </w:p>
  </w:footnote>
  <w:footnote w:id="3">
    <w:p>
      <w:pPr>
        <w:pStyle w:val="Notedebasdepage"/>
      </w:pPr>
      <w:r>
        <w:rPr>
          <w:rStyle w:val="Appelnotedebasdep"/>
        </w:rPr>
        <w:footnoteRef/>
      </w:r>
      <w:r>
        <w:t xml:space="preserve"> Clé primaire</w:t>
      </w:r>
    </w:p>
  </w:footnote>
  <w:footnote w:id="4">
    <w:p>
      <w:pPr>
        <w:pStyle w:val="Notedebasdepage"/>
      </w:pPr>
      <w:r>
        <w:rPr>
          <w:rStyle w:val="Caractresdenotedebasdepage"/>
          <w:rFonts w:ascii="Arial" w:hAnsi="Arial"/>
        </w:rPr>
        <w:footnoteRef/>
      </w:r>
      <w:r>
        <w:tab/>
        <w:t xml:space="preserve"> Le format de date adopté correspond au format imposé par la norme ISO 8601 pour la gestion des flux XML. Ce format est un format de transfert de donnée et non pas un format de saisie ou de restitution de données dans INGRES (tel que prescrit par le Noyau RH FPE).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340"/>
      <w:gridCol w:w="5714"/>
      <w:gridCol w:w="2926"/>
    </w:tblGrid>
    <w:tr>
      <w:trPr>
        <w:trHeight w:val="1124"/>
        <w:jc w:val="center"/>
      </w:trPr>
      <w:tc>
        <w:tcPr>
          <w:tcW w:w="2340" w:type="dxa"/>
          <w:vAlign w:val="center"/>
        </w:tcPr>
        <w:p>
          <w:pPr>
            <w:ind w:right="-70"/>
            <w:jc w:val="center"/>
            <w:rPr>
              <w:b/>
              <w:color w:val="000080"/>
            </w:rPr>
          </w:pPr>
          <w:r>
            <w:rPr>
              <w:b/>
              <w:noProof/>
              <w:color w:val="000080"/>
              <w:lang w:eastAsia="fr-FR"/>
            </w:rPr>
            <w:drawing>
              <wp:inline distT="0" distB="0" distL="0" distR="0">
                <wp:extent cx="1104900" cy="600075"/>
                <wp:effectExtent l="0" t="0" r="0" b="9525"/>
                <wp:docPr id="31" name="Image 31" descr="coul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l_r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tc>
      <w:tc>
        <w:tcPr>
          <w:tcW w:w="5714" w:type="dxa"/>
          <w:vAlign w:val="center"/>
        </w:tcPr>
        <w:p>
          <w:pPr>
            <w:spacing w:before="0"/>
            <w:ind w:right="-45"/>
            <w:jc w:val="center"/>
            <w:rPr>
              <w:rFonts w:ascii="Verdana" w:hAnsi="Verdana"/>
              <w:b/>
              <w:color w:val="6B6B9D"/>
              <w:sz w:val="22"/>
              <w:szCs w:val="22"/>
            </w:rPr>
          </w:pPr>
          <w:r>
            <w:rPr>
              <w:rFonts w:ascii="Verdana" w:hAnsi="Verdana"/>
              <w:b/>
              <w:color w:val="6B6B9D"/>
              <w:sz w:val="22"/>
              <w:szCs w:val="22"/>
            </w:rPr>
            <w:t>Instruments de gestion des référentiels</w:t>
          </w:r>
        </w:p>
        <w:p>
          <w:pPr>
            <w:spacing w:before="0"/>
            <w:ind w:right="-45"/>
            <w:jc w:val="center"/>
            <w:rPr>
              <w:rFonts w:ascii="Verdana" w:hAnsi="Verdana"/>
              <w:b/>
              <w:color w:val="6B6B9D"/>
              <w:sz w:val="22"/>
              <w:szCs w:val="22"/>
            </w:rPr>
          </w:pPr>
          <w:r>
            <w:rPr>
              <w:rFonts w:ascii="Verdana" w:hAnsi="Verdana"/>
              <w:b/>
              <w:color w:val="6B6B9D"/>
              <w:sz w:val="18"/>
              <w:szCs w:val="18"/>
            </w:rPr>
            <w:t>Spécifications des interfaces sortantes de INGRES</w:t>
          </w:r>
          <w:r>
            <w:rPr>
              <w:rFonts w:ascii="Verdana" w:hAnsi="Verdana"/>
              <w:b/>
              <w:color w:val="6B6B9D"/>
              <w:sz w:val="22"/>
              <w:szCs w:val="22"/>
            </w:rPr>
            <w:t xml:space="preserve"> </w:t>
          </w:r>
        </w:p>
      </w:tc>
      <w:tc>
        <w:tcPr>
          <w:tcW w:w="2926" w:type="dxa"/>
          <w:vAlign w:val="center"/>
        </w:tcPr>
        <w:p>
          <w:pPr>
            <w:ind w:left="-70"/>
            <w:jc w:val="center"/>
          </w:pPr>
          <w:r>
            <w:rPr>
              <w:rFonts w:ascii="Verdana" w:hAnsi="Verdana"/>
              <w:noProof/>
              <w:sz w:val="16"/>
              <w:szCs w:val="16"/>
              <w:lang w:eastAsia="fr-FR"/>
            </w:rPr>
            <w:drawing>
              <wp:inline distT="0" distB="0" distL="0" distR="0">
                <wp:extent cx="819150" cy="552450"/>
                <wp:effectExtent l="0" t="0" r="0" b="0"/>
                <wp:docPr id="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r>
  </w:tbl>
  <w:p>
    <w:pPr>
      <w:pStyle w:val="En-tte"/>
      <w:jc w:val="right"/>
    </w:pPr>
    <w:r>
      <w:rPr>
        <w:noProof/>
        <w:lang w:eastAsia="fr-FR"/>
      </w:rPr>
      <w:drawing>
        <wp:anchor distT="0" distB="0" distL="114935" distR="114935" simplePos="0" relativeHeight="251657728" behindDoc="1" locked="0" layoutInCell="1" allowOverlap="1">
          <wp:simplePos x="0" y="0"/>
          <wp:positionH relativeFrom="column">
            <wp:posOffset>-930910</wp:posOffset>
          </wp:positionH>
          <wp:positionV relativeFrom="paragraph">
            <wp:posOffset>1136015</wp:posOffset>
          </wp:positionV>
          <wp:extent cx="7558405" cy="9142730"/>
          <wp:effectExtent l="0" t="0" r="4445" b="127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9142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7" w:type="dxa"/>
      <w:tblInd w:w="-503" w:type="dxa"/>
      <w:tblBorders>
        <w:top w:val="single" w:sz="4" w:space="0" w:color="808080"/>
        <w:left w:val="single" w:sz="4" w:space="0" w:color="808080"/>
        <w:bottom w:val="single" w:sz="4" w:space="0" w:color="808080"/>
        <w:right w:val="nil"/>
        <w:insideH w:val="single" w:sz="4" w:space="0" w:color="808080"/>
        <w:insideV w:val="nil"/>
      </w:tblBorders>
      <w:tblCellMar>
        <w:left w:w="65" w:type="dxa"/>
        <w:right w:w="70" w:type="dxa"/>
      </w:tblCellMar>
      <w:tblLook w:val="0000" w:firstRow="0" w:lastRow="0" w:firstColumn="0" w:lastColumn="0" w:noHBand="0" w:noVBand="0"/>
    </w:tblPr>
    <w:tblGrid>
      <w:gridCol w:w="1962"/>
      <w:gridCol w:w="5692"/>
      <w:gridCol w:w="2423"/>
    </w:tblGrid>
    <w:tr>
      <w:trPr>
        <w:trHeight w:val="1122"/>
      </w:trPr>
      <w:tc>
        <w:tcPr>
          <w:tcW w:w="1962" w:type="dxa"/>
          <w:tcBorders>
            <w:top w:val="single" w:sz="4" w:space="0" w:color="808080"/>
            <w:left w:val="single" w:sz="4" w:space="0" w:color="808080"/>
            <w:bottom w:val="single" w:sz="4" w:space="0" w:color="808080"/>
            <w:right w:val="nil"/>
          </w:tcBorders>
          <w:shd w:val="clear" w:color="auto" w:fill="auto"/>
          <w:tcMar>
            <w:left w:w="65" w:type="dxa"/>
          </w:tcMar>
          <w:vAlign w:val="center"/>
        </w:tcPr>
        <w:p>
          <w:pPr>
            <w:jc w:val="center"/>
            <w:rPr>
              <w:b/>
              <w:color w:val="000080"/>
              <w:lang w:eastAsia="fr-FR"/>
            </w:rPr>
          </w:pPr>
          <w:r>
            <w:rPr>
              <w:b/>
              <w:noProof/>
              <w:color w:val="000080"/>
              <w:lang w:eastAsia="fr-FR"/>
            </w:rPr>
            <w:drawing>
              <wp:inline distT="0" distB="0" distL="0" distR="0">
                <wp:extent cx="1101725" cy="60261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101725" cy="602615"/>
                        </a:xfrm>
                        <a:prstGeom prst="rect">
                          <a:avLst/>
                        </a:prstGeom>
                        <a:noFill/>
                        <a:ln w="9525">
                          <a:noFill/>
                          <a:miter lim="800000"/>
                          <a:headEnd/>
                          <a:tailEnd/>
                        </a:ln>
                      </pic:spPr>
                    </pic:pic>
                  </a:graphicData>
                </a:graphic>
              </wp:inline>
            </w:drawing>
          </w:r>
        </w:p>
      </w:tc>
      <w:tc>
        <w:tcPr>
          <w:tcW w:w="5692" w:type="dxa"/>
          <w:tcBorders>
            <w:top w:val="single" w:sz="4" w:space="0" w:color="808080"/>
            <w:left w:val="single" w:sz="4" w:space="0" w:color="808080"/>
            <w:bottom w:val="single" w:sz="4" w:space="0" w:color="808080"/>
            <w:right w:val="nil"/>
          </w:tcBorders>
          <w:shd w:val="clear" w:color="auto" w:fill="auto"/>
          <w:tcMar>
            <w:left w:w="65" w:type="dxa"/>
          </w:tcMar>
          <w:vAlign w:val="center"/>
        </w:tcPr>
        <w:p>
          <w:pPr>
            <w:spacing w:before="0"/>
            <w:ind w:right="-45"/>
            <w:jc w:val="center"/>
            <w:rPr>
              <w:rFonts w:ascii="Verdana" w:hAnsi="Verdana"/>
              <w:b/>
              <w:color w:val="6B6B9D"/>
              <w:sz w:val="22"/>
              <w:szCs w:val="22"/>
            </w:rPr>
          </w:pPr>
          <w:r>
            <w:rPr>
              <w:rFonts w:ascii="Verdana" w:hAnsi="Verdana"/>
              <w:b/>
              <w:color w:val="6B6B9D"/>
              <w:sz w:val="22"/>
              <w:szCs w:val="22"/>
            </w:rPr>
            <w:t>Instruments de gestion des référentiels</w:t>
          </w:r>
        </w:p>
        <w:p>
          <w:pPr>
            <w:spacing w:line="80" w:lineRule="atLeast"/>
            <w:jc w:val="center"/>
            <w:rPr>
              <w:rFonts w:ascii="Century Gothic" w:hAnsi="Century Gothic" w:cs="Century Gothic"/>
              <w:b/>
              <w:color w:val="999999"/>
              <w:sz w:val="36"/>
              <w:szCs w:val="36"/>
            </w:rPr>
          </w:pPr>
          <w:r>
            <w:rPr>
              <w:rFonts w:ascii="Verdana" w:hAnsi="Verdana"/>
              <w:b/>
              <w:color w:val="6B6B9D"/>
              <w:sz w:val="18"/>
              <w:szCs w:val="18"/>
            </w:rPr>
            <w:t>Spécifications des interfaces sortantes de INGRES</w:t>
          </w:r>
          <w:r>
            <w:rPr>
              <w:rFonts w:ascii="Verdana" w:hAnsi="Verdana"/>
              <w:b/>
              <w:color w:val="6B6B9D"/>
              <w:sz w:val="22"/>
              <w:szCs w:val="22"/>
            </w:rPr>
            <w:t xml:space="preserve"> </w:t>
          </w:r>
        </w:p>
      </w:tc>
      <w:tc>
        <w:tcPr>
          <w:tcW w:w="2423"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pPr>
            <w:ind w:left="-70"/>
            <w:jc w:val="center"/>
            <w:rPr>
              <w:lang w:eastAsia="fr-FR"/>
            </w:rPr>
          </w:pPr>
          <w:r>
            <w:rPr>
              <w:noProof/>
              <w:lang w:eastAsia="fr-FR"/>
            </w:rPr>
            <w:drawing>
              <wp:inline distT="0" distB="0" distL="0" distR="0">
                <wp:extent cx="1152128" cy="324036"/>
                <wp:effectExtent l="0" t="0" r="0" b="0"/>
                <wp:docPr id="35" name="Image 8" descr="2017-05-04 12_43_46-Signatures et thème">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9" name="Image 8" descr="2017-05-04 12_43_46-Signatures et thème">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128" cy="324036"/>
                        </a:xfrm>
                        <a:prstGeom prst="rect">
                          <a:avLst/>
                        </a:prstGeom>
                        <a:noFill/>
                        <a:ln>
                          <a:noFill/>
                        </a:ln>
                      </pic:spPr>
                    </pic:pic>
                  </a:graphicData>
                </a:graphic>
              </wp:inline>
            </w:drawing>
          </w:r>
        </w:p>
      </w:tc>
    </w:tr>
  </w:tb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numPicBullet w:numPicBulletId="1">
    <w:pict>
      <v:shape id="_x0000_i1027" type="#_x0000_t75" style="width:9.75pt;height:9.75pt" o:bullet="t" filled="t">
        <v:fill color2="black"/>
        <v:imagedata r:id="rId2" o:title=""/>
      </v:shape>
    </w:pict>
  </w:numPicBullet>
  <w:abstractNum w:abstractNumId="0" w15:restartNumberingAfterBreak="0">
    <w:nsid w:val="FFFFFF81"/>
    <w:multiLevelType w:val="singleLevel"/>
    <w:tmpl w:val="588412FA"/>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6DE8C8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01AF8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332CA82E"/>
    <w:lvl w:ilvl="0">
      <w:start w:val="1"/>
      <w:numFmt w:val="decimal"/>
      <w:lvlText w:val="%1."/>
      <w:lvlJc w:val="left"/>
      <w:pPr>
        <w:tabs>
          <w:tab w:val="num" w:pos="1077"/>
        </w:tabs>
        <w:ind w:left="794" w:hanging="794"/>
      </w:pPr>
    </w:lvl>
    <w:lvl w:ilvl="1">
      <w:start w:val="1"/>
      <w:numFmt w:val="decimal"/>
      <w:lvlText w:val="%1.%2."/>
      <w:lvlJc w:val="left"/>
      <w:pPr>
        <w:tabs>
          <w:tab w:val="num" w:pos="1134"/>
        </w:tabs>
        <w:ind w:left="792" w:hanging="432"/>
      </w:pPr>
    </w:lvl>
    <w:lvl w:ilvl="2">
      <w:start w:val="1"/>
      <w:numFmt w:val="decimal"/>
      <w:lvlText w:val="%1.%2.%3."/>
      <w:lvlJc w:val="left"/>
      <w:pPr>
        <w:tabs>
          <w:tab w:val="num" w:pos="1758"/>
        </w:tabs>
        <w:ind w:left="1224" w:hanging="504"/>
      </w:pPr>
    </w:lvl>
    <w:lvl w:ilvl="3">
      <w:start w:val="1"/>
      <w:numFmt w:val="decimal"/>
      <w:lvlText w:val="%1.%2.%3.%4."/>
      <w:lvlJc w:val="left"/>
      <w:pPr>
        <w:tabs>
          <w:tab w:val="num" w:pos="2155"/>
        </w:tabs>
        <w:ind w:left="1728" w:hanging="648"/>
      </w:pPr>
    </w:lvl>
    <w:lvl w:ilvl="4">
      <w:start w:val="1"/>
      <w:numFmt w:val="decimal"/>
      <w:lvlText w:val="%1.%2.%3.%4.%5."/>
      <w:lvlJc w:val="left"/>
      <w:pPr>
        <w:tabs>
          <w:tab w:val="num" w:pos="2608"/>
        </w:tabs>
        <w:ind w:left="2232" w:hanging="792"/>
      </w:pPr>
    </w:lvl>
    <w:lvl w:ilvl="5">
      <w:start w:val="1"/>
      <w:numFmt w:val="decimal"/>
      <w:lvlText w:val="%1.%2.%3.%4.%5.%6."/>
      <w:lvlJc w:val="left"/>
      <w:pPr>
        <w:tabs>
          <w:tab w:val="num" w:pos="3119"/>
        </w:tabs>
        <w:ind w:left="2736" w:hanging="936"/>
      </w:pPr>
    </w:lvl>
    <w:lvl w:ilvl="6">
      <w:start w:val="1"/>
      <w:numFmt w:val="decimal"/>
      <w:lvlText w:val="%1.%2.%3.%4.%5.%6.%7."/>
      <w:lvlJc w:val="left"/>
      <w:pPr>
        <w:tabs>
          <w:tab w:val="num" w:pos="3880"/>
        </w:tabs>
        <w:ind w:left="3491" w:hanging="1080"/>
      </w:pPr>
    </w:lvl>
    <w:lvl w:ilvl="7">
      <w:start w:val="1"/>
      <w:numFmt w:val="decimal"/>
      <w:lvlText w:val="%1.%2.%3.%4.%5.%6.%7.%8."/>
      <w:lvlJc w:val="left"/>
      <w:pPr>
        <w:tabs>
          <w:tab w:val="num" w:pos="4026"/>
        </w:tabs>
        <w:ind w:left="3744" w:hanging="1224"/>
      </w:pPr>
    </w:lvl>
    <w:lvl w:ilvl="8">
      <w:start w:val="1"/>
      <w:numFmt w:val="decimal"/>
      <w:lvlText w:val="%1.%2.%3.%4.%5.%6.%7.%8.%9."/>
      <w:lvlJc w:val="left"/>
      <w:pPr>
        <w:tabs>
          <w:tab w:val="num" w:pos="4763"/>
        </w:tabs>
        <w:ind w:left="4320" w:hanging="1440"/>
      </w:pPr>
    </w:lvl>
  </w:abstractNum>
  <w:abstractNum w:abstractNumId="4" w15:restartNumberingAfterBreak="0">
    <w:nsid w:val="00000002"/>
    <w:multiLevelType w:val="singleLevel"/>
    <w:tmpl w:val="00000002"/>
    <w:name w:val="WW8Num1"/>
    <w:lvl w:ilvl="0">
      <w:start w:val="1"/>
      <w:numFmt w:val="bullet"/>
      <w:pStyle w:val="Listepuces51"/>
      <w:lvlText w:val=""/>
      <w:lvlJc w:val="left"/>
      <w:pPr>
        <w:tabs>
          <w:tab w:val="num" w:pos="1492"/>
        </w:tabs>
        <w:ind w:left="1492" w:hanging="360"/>
      </w:pPr>
      <w:rPr>
        <w:rFonts w:ascii="Symbol" w:hAnsi="Symbol"/>
      </w:rPr>
    </w:lvl>
  </w:abstractNum>
  <w:abstractNum w:abstractNumId="5" w15:restartNumberingAfterBreak="0">
    <w:nsid w:val="00000003"/>
    <w:multiLevelType w:val="singleLevel"/>
    <w:tmpl w:val="00000003"/>
    <w:name w:val="WW8Num2"/>
    <w:lvl w:ilvl="0">
      <w:start w:val="1"/>
      <w:numFmt w:val="bullet"/>
      <w:pStyle w:val="Listepuces31"/>
      <w:lvlText w:val=""/>
      <w:lvlJc w:val="left"/>
      <w:pPr>
        <w:tabs>
          <w:tab w:val="num" w:pos="926"/>
        </w:tabs>
        <w:ind w:left="926" w:hanging="360"/>
      </w:pPr>
      <w:rPr>
        <w:rFonts w:ascii="Symbol" w:hAnsi="Symbol"/>
      </w:rPr>
    </w:lvl>
  </w:abstractNum>
  <w:abstractNum w:abstractNumId="6" w15:restartNumberingAfterBreak="0">
    <w:nsid w:val="00000004"/>
    <w:multiLevelType w:val="singleLevel"/>
    <w:tmpl w:val="00000004"/>
    <w:name w:val="WW8Num3"/>
    <w:lvl w:ilvl="0">
      <w:start w:val="1"/>
      <w:numFmt w:val="bullet"/>
      <w:pStyle w:val="Listepuces1"/>
      <w:lvlText w:val=""/>
      <w:lvlJc w:val="left"/>
      <w:pPr>
        <w:tabs>
          <w:tab w:val="num" w:pos="360"/>
        </w:tabs>
        <w:ind w:left="360" w:hanging="360"/>
      </w:pPr>
      <w:rPr>
        <w:rFonts w:ascii="Symbol" w:hAnsi="Symbol"/>
      </w:rPr>
    </w:lvl>
  </w:abstractNum>
  <w:abstractNum w:abstractNumId="7"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8"/>
    <w:lvl w:ilvl="0">
      <w:start w:val="1"/>
      <w:numFmt w:val="bullet"/>
      <w:pStyle w:val="Puce"/>
      <w:lvlText w:val=""/>
      <w:lvlJc w:val="left"/>
      <w:pPr>
        <w:tabs>
          <w:tab w:val="num" w:pos="720"/>
        </w:tabs>
        <w:ind w:left="720" w:hanging="360"/>
      </w:pPr>
      <w:rPr>
        <w:rFonts w:ascii="Symbol" w:hAnsi="Symbol"/>
        <w:color w:val="000000"/>
      </w:rPr>
    </w:lvl>
  </w:abstractNum>
  <w:abstractNum w:abstractNumId="10"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863AE276"/>
    <w:name w:val="WW8Num11"/>
    <w:lvl w:ilvl="0">
      <w:start w:val="1"/>
      <w:numFmt w:val="decimal"/>
      <w:pStyle w:val="ONPTitre2"/>
      <w:lvlText w:val="%1."/>
      <w:lvlJc w:val="left"/>
      <w:pPr>
        <w:tabs>
          <w:tab w:val="num" w:pos="1077"/>
        </w:tabs>
        <w:ind w:left="794" w:hanging="794"/>
      </w:pPr>
    </w:lvl>
    <w:lvl w:ilvl="1">
      <w:start w:val="1"/>
      <w:numFmt w:val="decimal"/>
      <w:lvlText w:val="%1.%2."/>
      <w:lvlJc w:val="left"/>
      <w:pPr>
        <w:tabs>
          <w:tab w:val="num" w:pos="2476"/>
        </w:tabs>
        <w:ind w:left="624" w:firstLine="56"/>
      </w:pPr>
    </w:lvl>
    <w:lvl w:ilvl="2">
      <w:start w:val="1"/>
      <w:numFmt w:val="decimal"/>
      <w:lvlText w:val="%1.%2.%3."/>
      <w:lvlJc w:val="left"/>
      <w:pPr>
        <w:tabs>
          <w:tab w:val="num" w:pos="1038"/>
        </w:tabs>
        <w:ind w:left="504" w:hanging="504"/>
      </w:pPr>
    </w:lvl>
    <w:lvl w:ilvl="3">
      <w:start w:val="1"/>
      <w:numFmt w:val="decimal"/>
      <w:lvlText w:val="%1.%2.%3.%4."/>
      <w:lvlJc w:val="left"/>
      <w:pPr>
        <w:tabs>
          <w:tab w:val="num" w:pos="2777"/>
        </w:tabs>
        <w:ind w:left="2350" w:hanging="648"/>
      </w:pPr>
    </w:lvl>
    <w:lvl w:ilvl="4">
      <w:start w:val="1"/>
      <w:numFmt w:val="decimal"/>
      <w:lvlText w:val="%1.%2.%3.%4.%5."/>
      <w:lvlJc w:val="left"/>
      <w:pPr>
        <w:tabs>
          <w:tab w:val="num" w:pos="2728"/>
        </w:tabs>
        <w:ind w:left="2352" w:hanging="792"/>
      </w:pPr>
    </w:lvl>
    <w:lvl w:ilvl="5">
      <w:start w:val="1"/>
      <w:numFmt w:val="decimal"/>
      <w:lvlText w:val="%1.%2.%3.%4.%5.%6."/>
      <w:lvlJc w:val="left"/>
      <w:pPr>
        <w:tabs>
          <w:tab w:val="num" w:pos="3119"/>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B"/>
    <w:multiLevelType w:val="singleLevel"/>
    <w:tmpl w:val="0000000B"/>
    <w:name w:val="WW8Num12"/>
    <w:lvl w:ilvl="0">
      <w:start w:val="1"/>
      <w:numFmt w:val="bullet"/>
      <w:lvlText w:val=""/>
      <w:lvlJc w:val="left"/>
      <w:pPr>
        <w:tabs>
          <w:tab w:val="num" w:pos="1069"/>
        </w:tabs>
        <w:ind w:left="1069" w:hanging="360"/>
      </w:pPr>
      <w:rPr>
        <w:rFonts w:ascii="Symbol" w:hAnsi="Symbol"/>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D"/>
    <w:multiLevelType w:val="singleLevel"/>
    <w:tmpl w:val="0000000D"/>
    <w:name w:val="WW8Num19"/>
    <w:lvl w:ilvl="0">
      <w:start w:val="1"/>
      <w:numFmt w:val="bullet"/>
      <w:lvlText w:val=""/>
      <w:lvlJc w:val="left"/>
      <w:pPr>
        <w:tabs>
          <w:tab w:val="num" w:pos="788"/>
        </w:tabs>
        <w:ind w:left="788" w:hanging="360"/>
      </w:pPr>
      <w:rPr>
        <w:rFonts w:ascii="Symbol" w:hAnsi="Symbol"/>
      </w:rPr>
    </w:lvl>
  </w:abstractNum>
  <w:abstractNum w:abstractNumId="16" w15:restartNumberingAfterBreak="0">
    <w:nsid w:val="0000000E"/>
    <w:multiLevelType w:val="singleLevel"/>
    <w:tmpl w:val="0000000E"/>
    <w:name w:val="WW8Num20"/>
    <w:lvl w:ilvl="0">
      <w:start w:val="1"/>
      <w:numFmt w:val="bullet"/>
      <w:lvlText w:val=""/>
      <w:lvlJc w:val="left"/>
      <w:pPr>
        <w:tabs>
          <w:tab w:val="num" w:pos="1069"/>
        </w:tabs>
        <w:ind w:left="1069" w:hanging="360"/>
      </w:pPr>
      <w:rPr>
        <w:rFonts w:ascii="Symbol" w:hAnsi="Symbol"/>
      </w:rPr>
    </w:lvl>
  </w:abstractNum>
  <w:abstractNum w:abstractNumId="17" w15:restartNumberingAfterBreak="0">
    <w:nsid w:val="0000000F"/>
    <w:multiLevelType w:val="singleLevel"/>
    <w:tmpl w:val="0000000F"/>
    <w:name w:val="WW8Num21"/>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0"/>
    <w:multiLevelType w:val="multilevel"/>
    <w:tmpl w:val="00000010"/>
    <w:name w:val="WW8Num22"/>
    <w:lvl w:ilvl="0">
      <w:start w:val="1"/>
      <w:numFmt w:val="bullet"/>
      <w:pStyle w:val="TIndent2Alt2"/>
      <w:lvlText w:val="o"/>
      <w:lvlJc w:val="left"/>
      <w:pPr>
        <w:tabs>
          <w:tab w:val="num" w:pos="644"/>
        </w:tabs>
        <w:ind w:left="644" w:hanging="360"/>
      </w:pPr>
      <w:rPr>
        <w:rFonts w:ascii="Courier New" w:hAnsi="Courier New" w:cs="Courier New"/>
      </w:rPr>
    </w:lvl>
    <w:lvl w:ilvl="1">
      <w:start w:val="1"/>
      <w:numFmt w:val="bullet"/>
      <w:lvlText w:val="o"/>
      <w:lvlJc w:val="left"/>
      <w:pPr>
        <w:tabs>
          <w:tab w:val="num" w:pos="1364"/>
        </w:tabs>
        <w:ind w:left="1364" w:hanging="360"/>
      </w:pPr>
      <w:rPr>
        <w:rFonts w:ascii="Courier New" w:hAnsi="Courier New" w:cs="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cs="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cs="Courier New"/>
      </w:rPr>
    </w:lvl>
    <w:lvl w:ilvl="8">
      <w:start w:val="1"/>
      <w:numFmt w:val="bullet"/>
      <w:lvlText w:val=""/>
      <w:lvlJc w:val="left"/>
      <w:pPr>
        <w:tabs>
          <w:tab w:val="num" w:pos="6404"/>
        </w:tabs>
        <w:ind w:left="6404" w:hanging="360"/>
      </w:pPr>
      <w:rPr>
        <w:rFonts w:ascii="Wingdings" w:hAnsi="Wingdings"/>
      </w:rPr>
    </w:lvl>
  </w:abstractNum>
  <w:abstractNum w:abstractNumId="19" w15:restartNumberingAfterBreak="0">
    <w:nsid w:val="00000011"/>
    <w:multiLevelType w:val="singleLevel"/>
    <w:tmpl w:val="00000011"/>
    <w:name w:val="WW8Num2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3"/>
    <w:multiLevelType w:val="singleLevel"/>
    <w:tmpl w:val="00000013"/>
    <w:name w:val="WW8Num27"/>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4"/>
    <w:multiLevelType w:val="singleLevel"/>
    <w:tmpl w:val="00000014"/>
    <w:name w:val="WW8Num29"/>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15"/>
    <w:multiLevelType w:val="singleLevel"/>
    <w:tmpl w:val="00000015"/>
    <w:name w:val="WW8Num30"/>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6"/>
    <w:multiLevelType w:val="singleLevel"/>
    <w:tmpl w:val="00000016"/>
    <w:name w:val="WW8Num31"/>
    <w:lvl w:ilvl="0">
      <w:start w:val="1"/>
      <w:numFmt w:val="bullet"/>
      <w:lvlText w:val=""/>
      <w:lvlJc w:val="left"/>
      <w:pPr>
        <w:tabs>
          <w:tab w:val="num" w:pos="0"/>
        </w:tabs>
        <w:ind w:left="720" w:hanging="360"/>
      </w:pPr>
      <w:rPr>
        <w:rFonts w:ascii="Symbol" w:hAnsi="Symbol"/>
      </w:rPr>
    </w:lvl>
  </w:abstractNum>
  <w:abstractNum w:abstractNumId="25" w15:restartNumberingAfterBreak="0">
    <w:nsid w:val="00000017"/>
    <w:multiLevelType w:val="singleLevel"/>
    <w:tmpl w:val="00000017"/>
    <w:name w:val="WW8Num32"/>
    <w:lvl w:ilvl="0">
      <w:start w:val="1"/>
      <w:numFmt w:val="bullet"/>
      <w:lvlText w:val=""/>
      <w:lvlJc w:val="left"/>
      <w:pPr>
        <w:tabs>
          <w:tab w:val="num" w:pos="1069"/>
        </w:tabs>
        <w:ind w:left="1069" w:hanging="360"/>
      </w:pPr>
      <w:rPr>
        <w:rFonts w:ascii="Symbol" w:hAnsi="Symbol"/>
      </w:rPr>
    </w:lvl>
  </w:abstractNum>
  <w:abstractNum w:abstractNumId="26" w15:restartNumberingAfterBreak="0">
    <w:nsid w:val="00000018"/>
    <w:multiLevelType w:val="multilevel"/>
    <w:tmpl w:val="00000018"/>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9"/>
    <w:multiLevelType w:val="singleLevel"/>
    <w:tmpl w:val="00000019"/>
    <w:name w:val="WW8Num35"/>
    <w:lvl w:ilvl="0">
      <w:start w:val="1"/>
      <w:numFmt w:val="bullet"/>
      <w:lvlText w:val=""/>
      <w:lvlJc w:val="left"/>
      <w:pPr>
        <w:tabs>
          <w:tab w:val="num" w:pos="1069"/>
        </w:tabs>
        <w:ind w:left="1069" w:hanging="360"/>
      </w:pPr>
      <w:rPr>
        <w:rFonts w:ascii="Symbol" w:hAnsi="Symbol"/>
      </w:rPr>
    </w:lvl>
  </w:abstractNum>
  <w:abstractNum w:abstractNumId="28" w15:restartNumberingAfterBreak="0">
    <w:nsid w:val="0000001A"/>
    <w:multiLevelType w:val="singleLevel"/>
    <w:tmpl w:val="0000001A"/>
    <w:name w:val="WW8Num36"/>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1B"/>
    <w:multiLevelType w:val="singleLevel"/>
    <w:tmpl w:val="0000001B"/>
    <w:name w:val="WW8Num38"/>
    <w:lvl w:ilvl="0">
      <w:start w:val="1"/>
      <w:numFmt w:val="bullet"/>
      <w:pStyle w:val="Listepuces21"/>
      <w:lvlText w:val=""/>
      <w:lvlJc w:val="left"/>
      <w:pPr>
        <w:tabs>
          <w:tab w:val="num" w:pos="1418"/>
        </w:tabs>
        <w:ind w:left="1418" w:hanging="284"/>
      </w:pPr>
      <w:rPr>
        <w:rFonts w:ascii="Wingdings" w:hAnsi="Wingdings"/>
      </w:rPr>
    </w:lvl>
  </w:abstractNum>
  <w:abstractNum w:abstractNumId="30" w15:restartNumberingAfterBreak="0">
    <w:nsid w:val="0000001C"/>
    <w:multiLevelType w:val="multilevel"/>
    <w:tmpl w:val="0000001C"/>
    <w:lvl w:ilvl="0">
      <w:start w:val="1"/>
      <w:numFmt w:val="bullet"/>
      <w:pStyle w:val="ONPPoint1"/>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1" w15:restartNumberingAfterBreak="0">
    <w:nsid w:val="0000001D"/>
    <w:multiLevelType w:val="multilevel"/>
    <w:tmpl w:val="0000001D"/>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1E"/>
    <w:multiLevelType w:val="singleLevel"/>
    <w:tmpl w:val="0000001E"/>
    <w:name w:val="WW8Num43"/>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1F"/>
    <w:multiLevelType w:val="singleLevel"/>
    <w:tmpl w:val="0000001F"/>
    <w:name w:val="WW8Num45"/>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20"/>
    <w:multiLevelType w:val="singleLevel"/>
    <w:tmpl w:val="00000020"/>
    <w:name w:val="WW8Num4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21"/>
    <w:multiLevelType w:val="multilevel"/>
    <w:tmpl w:val="0000002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6" w15:restartNumberingAfterBreak="0">
    <w:nsid w:val="00000022"/>
    <w:multiLevelType w:val="singleLevel"/>
    <w:tmpl w:val="00000022"/>
    <w:name w:val="WW8Num49"/>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3"/>
    <w:multiLevelType w:val="multilevel"/>
    <w:tmpl w:val="00000023"/>
    <w:name w:val="WW8Num5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25"/>
    <w:multiLevelType w:val="multilevel"/>
    <w:tmpl w:val="00000025"/>
    <w:name w:val="WW8Num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6"/>
    <w:multiLevelType w:val="singleLevel"/>
    <w:tmpl w:val="00000026"/>
    <w:name w:val="WW8Num55"/>
    <w:lvl w:ilvl="0">
      <w:start w:val="1"/>
      <w:numFmt w:val="bullet"/>
      <w:lvlText w:val=""/>
      <w:lvlJc w:val="left"/>
      <w:pPr>
        <w:tabs>
          <w:tab w:val="num" w:pos="720"/>
        </w:tabs>
        <w:ind w:left="720" w:hanging="360"/>
      </w:pPr>
      <w:rPr>
        <w:rFonts w:ascii="Symbol" w:hAnsi="Symbol"/>
      </w:rPr>
    </w:lvl>
  </w:abstractNum>
  <w:abstractNum w:abstractNumId="41" w15:restartNumberingAfterBreak="0">
    <w:nsid w:val="00000027"/>
    <w:multiLevelType w:val="singleLevel"/>
    <w:tmpl w:val="00000027"/>
    <w:name w:val="WW8Num57"/>
    <w:lvl w:ilvl="0">
      <w:start w:val="1"/>
      <w:numFmt w:val="bullet"/>
      <w:lvlText w:val=""/>
      <w:lvlJc w:val="left"/>
      <w:pPr>
        <w:tabs>
          <w:tab w:val="num" w:pos="776"/>
        </w:tabs>
        <w:ind w:left="776" w:hanging="360"/>
      </w:pPr>
      <w:rPr>
        <w:rFonts w:ascii="Symbol" w:hAnsi="Symbol"/>
      </w:rPr>
    </w:lvl>
  </w:abstractNum>
  <w:abstractNum w:abstractNumId="42" w15:restartNumberingAfterBreak="0">
    <w:nsid w:val="00000028"/>
    <w:multiLevelType w:val="singleLevel"/>
    <w:tmpl w:val="00000028"/>
    <w:name w:val="WW8Num58"/>
    <w:lvl w:ilvl="0">
      <w:start w:val="1"/>
      <w:numFmt w:val="bullet"/>
      <w:lvlText w:val=""/>
      <w:lvlJc w:val="left"/>
      <w:pPr>
        <w:tabs>
          <w:tab w:val="num" w:pos="780"/>
        </w:tabs>
        <w:ind w:left="780" w:hanging="360"/>
      </w:pPr>
      <w:rPr>
        <w:rFonts w:ascii="Symbol" w:hAnsi="Symbol"/>
      </w:rPr>
    </w:lvl>
  </w:abstractNum>
  <w:abstractNum w:abstractNumId="43" w15:restartNumberingAfterBreak="0">
    <w:nsid w:val="00000029"/>
    <w:multiLevelType w:val="singleLevel"/>
    <w:tmpl w:val="00000029"/>
    <w:name w:val="WW8Num59"/>
    <w:lvl w:ilvl="0">
      <w:start w:val="1"/>
      <w:numFmt w:val="bullet"/>
      <w:lvlText w:val=""/>
      <w:lvlJc w:val="left"/>
      <w:pPr>
        <w:tabs>
          <w:tab w:val="num" w:pos="1069"/>
        </w:tabs>
        <w:ind w:left="1069" w:hanging="360"/>
      </w:pPr>
      <w:rPr>
        <w:rFonts w:ascii="Symbol" w:hAnsi="Symbol"/>
      </w:rPr>
    </w:lvl>
  </w:abstractNum>
  <w:abstractNum w:abstractNumId="44" w15:restartNumberingAfterBreak="0">
    <w:nsid w:val="0000002A"/>
    <w:multiLevelType w:val="singleLevel"/>
    <w:tmpl w:val="0000002A"/>
    <w:name w:val="WW8Num60"/>
    <w:lvl w:ilvl="0">
      <w:start w:val="1"/>
      <w:numFmt w:val="bullet"/>
      <w:pStyle w:val="RemarqueR"/>
      <w:lvlText w:val=""/>
      <w:lvlJc w:val="left"/>
      <w:pPr>
        <w:tabs>
          <w:tab w:val="num" w:pos="360"/>
        </w:tabs>
        <w:ind w:left="360" w:hanging="360"/>
      </w:pPr>
      <w:rPr>
        <w:rFonts w:ascii="Symbol" w:hAnsi="Symbol"/>
      </w:rPr>
    </w:lvl>
  </w:abstractNum>
  <w:abstractNum w:abstractNumId="45" w15:restartNumberingAfterBreak="0">
    <w:nsid w:val="0000002B"/>
    <w:multiLevelType w:val="multilevel"/>
    <w:tmpl w:val="0000002B"/>
    <w:name w:val="WW8Num62"/>
    <w:lvl w:ilvl="0">
      <w:start w:val="1"/>
      <w:numFmt w:val="bullet"/>
      <w:lvlText w:val="-"/>
      <w:lvlJc w:val="left"/>
      <w:pPr>
        <w:tabs>
          <w:tab w:val="num" w:pos="0"/>
        </w:tabs>
        <w:ind w:left="644" w:hanging="360"/>
      </w:pPr>
      <w:rPr>
        <w:rFonts w:ascii="Times New Roman" w:hAnsi="Times New Roman" w:cs="Times New Roman"/>
      </w:rPr>
    </w:lvl>
    <w:lvl w:ilvl="1">
      <w:start w:val="1"/>
      <w:numFmt w:val="bullet"/>
      <w:lvlText w:val=""/>
      <w:lvlJc w:val="left"/>
      <w:pPr>
        <w:tabs>
          <w:tab w:val="num" w:pos="720"/>
        </w:tabs>
        <w:ind w:left="720" w:hanging="360"/>
      </w:pPr>
      <w:rPr>
        <w:rFonts w:ascii="Symbol" w:hAnsi="Symbo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3524"/>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6" w15:restartNumberingAfterBreak="0">
    <w:nsid w:val="0000002C"/>
    <w:multiLevelType w:val="singleLevel"/>
    <w:tmpl w:val="0000002C"/>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2D"/>
    <w:multiLevelType w:val="singleLevel"/>
    <w:tmpl w:val="0000002D"/>
    <w:name w:val="WW8Num65"/>
    <w:lvl w:ilvl="0">
      <w:start w:val="1"/>
      <w:numFmt w:val="bullet"/>
      <w:pStyle w:val="TIndent1Alt1"/>
      <w:lvlText w:val=""/>
      <w:lvlJc w:val="left"/>
      <w:pPr>
        <w:tabs>
          <w:tab w:val="num" w:pos="360"/>
        </w:tabs>
        <w:ind w:left="360" w:hanging="360"/>
      </w:pPr>
      <w:rPr>
        <w:rFonts w:ascii="Symbol" w:hAnsi="Symbol"/>
      </w:rPr>
    </w:lvl>
  </w:abstractNum>
  <w:abstractNum w:abstractNumId="48" w15:restartNumberingAfterBreak="0">
    <w:nsid w:val="0000002E"/>
    <w:multiLevelType w:val="singleLevel"/>
    <w:tmpl w:val="0000002E"/>
    <w:name w:val="WW8Num67"/>
    <w:lvl w:ilvl="0">
      <w:start w:val="1"/>
      <w:numFmt w:val="bullet"/>
      <w:lvlText w:val="-"/>
      <w:lvlJc w:val="left"/>
      <w:pPr>
        <w:tabs>
          <w:tab w:val="num" w:pos="405"/>
        </w:tabs>
        <w:ind w:left="405" w:hanging="360"/>
      </w:pPr>
      <w:rPr>
        <w:rFonts w:ascii="Times New Roman" w:hAnsi="Times New Roman" w:cs="Times New Roman"/>
      </w:rPr>
    </w:lvl>
  </w:abstractNum>
  <w:abstractNum w:abstractNumId="49" w15:restartNumberingAfterBreak="0">
    <w:nsid w:val="0000002F"/>
    <w:multiLevelType w:val="singleLevel"/>
    <w:tmpl w:val="0000002F"/>
    <w:name w:val="WW8Num68"/>
    <w:lvl w:ilvl="0">
      <w:start w:val="1"/>
      <w:numFmt w:val="bullet"/>
      <w:pStyle w:val="ONPPoint3"/>
      <w:lvlText w:val=""/>
      <w:lvlJc w:val="left"/>
      <w:pPr>
        <w:tabs>
          <w:tab w:val="num" w:pos="0"/>
        </w:tabs>
        <w:ind w:left="1440" w:hanging="360"/>
      </w:pPr>
      <w:rPr>
        <w:rFonts w:ascii="Wingdings" w:hAnsi="Wingdings"/>
      </w:rPr>
    </w:lvl>
  </w:abstractNum>
  <w:abstractNum w:abstractNumId="50" w15:restartNumberingAfterBreak="0">
    <w:nsid w:val="00000030"/>
    <w:multiLevelType w:val="singleLevel"/>
    <w:tmpl w:val="00000030"/>
    <w:name w:val="WW8Num70"/>
    <w:lvl w:ilvl="0">
      <w:start w:val="1"/>
      <w:numFmt w:val="bullet"/>
      <w:lvlText w:val=""/>
      <w:lvlJc w:val="left"/>
      <w:pPr>
        <w:tabs>
          <w:tab w:val="num" w:pos="720"/>
        </w:tabs>
        <w:ind w:left="720" w:hanging="360"/>
      </w:pPr>
      <w:rPr>
        <w:rFonts w:ascii="Symbol" w:hAnsi="Symbol"/>
      </w:rPr>
    </w:lvl>
  </w:abstractNum>
  <w:abstractNum w:abstractNumId="51" w15:restartNumberingAfterBreak="0">
    <w:nsid w:val="00000031"/>
    <w:multiLevelType w:val="singleLevel"/>
    <w:tmpl w:val="00000031"/>
    <w:name w:val="WW8Num71"/>
    <w:lvl w:ilvl="0">
      <w:start w:val="1"/>
      <w:numFmt w:val="bullet"/>
      <w:lvlText w:val=""/>
      <w:lvlJc w:val="left"/>
      <w:pPr>
        <w:tabs>
          <w:tab w:val="num" w:pos="720"/>
        </w:tabs>
        <w:ind w:left="720" w:hanging="360"/>
      </w:pPr>
      <w:rPr>
        <w:rFonts w:ascii="Symbol" w:hAnsi="Symbol"/>
      </w:rPr>
    </w:lvl>
  </w:abstractNum>
  <w:abstractNum w:abstractNumId="52" w15:restartNumberingAfterBreak="0">
    <w:nsid w:val="00000032"/>
    <w:multiLevelType w:val="singleLevel"/>
    <w:tmpl w:val="00000032"/>
    <w:name w:val="WW8Num73"/>
    <w:lvl w:ilvl="0">
      <w:start w:val="1"/>
      <w:numFmt w:val="bullet"/>
      <w:lvlText w:val=""/>
      <w:lvlJc w:val="left"/>
      <w:pPr>
        <w:tabs>
          <w:tab w:val="num" w:pos="1004"/>
        </w:tabs>
        <w:ind w:left="1004" w:hanging="360"/>
      </w:pPr>
      <w:rPr>
        <w:rFonts w:ascii="Symbol" w:hAnsi="Symbol"/>
      </w:rPr>
    </w:lvl>
  </w:abstractNum>
  <w:abstractNum w:abstractNumId="53" w15:restartNumberingAfterBreak="0">
    <w:nsid w:val="00000033"/>
    <w:multiLevelType w:val="singleLevel"/>
    <w:tmpl w:val="00000033"/>
    <w:name w:val="WW8Num75"/>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34"/>
    <w:multiLevelType w:val="singleLevel"/>
    <w:tmpl w:val="00000034"/>
    <w:name w:val="WW8Num77"/>
    <w:lvl w:ilvl="0">
      <w:start w:val="1"/>
      <w:numFmt w:val="bullet"/>
      <w:lvlText w:val="o"/>
      <w:lvlJc w:val="left"/>
      <w:pPr>
        <w:tabs>
          <w:tab w:val="num" w:pos="1080"/>
        </w:tabs>
        <w:ind w:left="1080" w:hanging="360"/>
      </w:pPr>
      <w:rPr>
        <w:rFonts w:ascii="Courier New" w:hAnsi="Courier New" w:cs="Courier New"/>
      </w:rPr>
    </w:lvl>
  </w:abstractNum>
  <w:abstractNum w:abstractNumId="55" w15:restartNumberingAfterBreak="0">
    <w:nsid w:val="00000035"/>
    <w:multiLevelType w:val="singleLevel"/>
    <w:tmpl w:val="00000035"/>
    <w:name w:val="WW8Num78"/>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36"/>
    <w:multiLevelType w:val="multilevel"/>
    <w:tmpl w:val="00000036"/>
    <w:name w:val="WW8Num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7"/>
    <w:multiLevelType w:val="singleLevel"/>
    <w:tmpl w:val="00000037"/>
    <w:name w:val="WW8Num84"/>
    <w:lvl w:ilvl="0">
      <w:start w:val="1"/>
      <w:numFmt w:val="bullet"/>
      <w:lvlText w:val=""/>
      <w:lvlJc w:val="left"/>
      <w:pPr>
        <w:tabs>
          <w:tab w:val="num" w:pos="780"/>
        </w:tabs>
        <w:ind w:left="780" w:hanging="360"/>
      </w:pPr>
      <w:rPr>
        <w:rFonts w:ascii="Symbol" w:hAnsi="Symbol"/>
      </w:rPr>
    </w:lvl>
  </w:abstractNum>
  <w:abstractNum w:abstractNumId="58" w15:restartNumberingAfterBreak="0">
    <w:nsid w:val="00000038"/>
    <w:multiLevelType w:val="singleLevel"/>
    <w:tmpl w:val="00000038"/>
    <w:name w:val="WW8Num85"/>
    <w:lvl w:ilvl="0">
      <w:start w:val="1"/>
      <w:numFmt w:val="bullet"/>
      <w:lvlText w:val=""/>
      <w:lvlJc w:val="left"/>
      <w:pPr>
        <w:tabs>
          <w:tab w:val="num" w:pos="0"/>
        </w:tabs>
        <w:ind w:left="360" w:hanging="360"/>
      </w:pPr>
      <w:rPr>
        <w:rFonts w:ascii="Symbol" w:hAnsi="Symbol"/>
      </w:rPr>
    </w:lvl>
  </w:abstractNum>
  <w:abstractNum w:abstractNumId="59" w15:restartNumberingAfterBreak="0">
    <w:nsid w:val="00000039"/>
    <w:multiLevelType w:val="singleLevel"/>
    <w:tmpl w:val="00000039"/>
    <w:name w:val="WW8Num86"/>
    <w:lvl w:ilvl="0">
      <w:start w:val="1"/>
      <w:numFmt w:val="bullet"/>
      <w:lvlText w:val=""/>
      <w:lvlJc w:val="left"/>
      <w:pPr>
        <w:tabs>
          <w:tab w:val="num" w:pos="1080"/>
        </w:tabs>
        <w:ind w:left="1080" w:hanging="360"/>
      </w:pPr>
      <w:rPr>
        <w:rFonts w:ascii="Symbol" w:hAnsi="Symbol"/>
      </w:rPr>
    </w:lvl>
  </w:abstractNum>
  <w:abstractNum w:abstractNumId="60" w15:restartNumberingAfterBreak="0">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0000003B"/>
    <w:multiLevelType w:val="multilevel"/>
    <w:tmpl w:val="0000003B"/>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2" w15:restartNumberingAfterBreak="0">
    <w:nsid w:val="00FB39D9"/>
    <w:multiLevelType w:val="multilevel"/>
    <w:tmpl w:val="9064CFA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02603ABD"/>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15:restartNumberingAfterBreak="0">
    <w:nsid w:val="080A1909"/>
    <w:multiLevelType w:val="hybridMultilevel"/>
    <w:tmpl w:val="8B1C2296"/>
    <w:lvl w:ilvl="0" w:tplc="FA86B436">
      <w:start w:val="1"/>
      <w:numFmt w:val="bullet"/>
      <w:pStyle w:val="ListeNum"/>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5" w15:restartNumberingAfterBreak="0">
    <w:nsid w:val="0B5F7CA4"/>
    <w:multiLevelType w:val="hybridMultilevel"/>
    <w:tmpl w:val="CD9A3F9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0DAA63E3"/>
    <w:multiLevelType w:val="hybridMultilevel"/>
    <w:tmpl w:val="B11ACD86"/>
    <w:lvl w:ilvl="0" w:tplc="11B0CC4E">
      <w:start w:val="1"/>
      <w:numFmt w:val="bullet"/>
      <w:lvlText w:val="•"/>
      <w:lvlJc w:val="left"/>
      <w:pPr>
        <w:tabs>
          <w:tab w:val="num" w:pos="720"/>
        </w:tabs>
        <w:ind w:left="720" w:hanging="360"/>
      </w:pPr>
      <w:rPr>
        <w:rFonts w:ascii="Arial" w:hAnsi="Arial" w:hint="default"/>
      </w:rPr>
    </w:lvl>
    <w:lvl w:ilvl="1" w:tplc="5AF865E0" w:tentative="1">
      <w:start w:val="1"/>
      <w:numFmt w:val="bullet"/>
      <w:lvlText w:val="•"/>
      <w:lvlJc w:val="left"/>
      <w:pPr>
        <w:tabs>
          <w:tab w:val="num" w:pos="1440"/>
        </w:tabs>
        <w:ind w:left="1440" w:hanging="360"/>
      </w:pPr>
      <w:rPr>
        <w:rFonts w:ascii="Arial" w:hAnsi="Arial" w:hint="default"/>
      </w:rPr>
    </w:lvl>
    <w:lvl w:ilvl="2" w:tplc="BBB6C862" w:tentative="1">
      <w:start w:val="1"/>
      <w:numFmt w:val="bullet"/>
      <w:lvlText w:val="•"/>
      <w:lvlJc w:val="left"/>
      <w:pPr>
        <w:tabs>
          <w:tab w:val="num" w:pos="2160"/>
        </w:tabs>
        <w:ind w:left="2160" w:hanging="360"/>
      </w:pPr>
      <w:rPr>
        <w:rFonts w:ascii="Arial" w:hAnsi="Arial" w:hint="default"/>
      </w:rPr>
    </w:lvl>
    <w:lvl w:ilvl="3" w:tplc="FEF48542" w:tentative="1">
      <w:start w:val="1"/>
      <w:numFmt w:val="bullet"/>
      <w:lvlText w:val="•"/>
      <w:lvlJc w:val="left"/>
      <w:pPr>
        <w:tabs>
          <w:tab w:val="num" w:pos="2880"/>
        </w:tabs>
        <w:ind w:left="2880" w:hanging="360"/>
      </w:pPr>
      <w:rPr>
        <w:rFonts w:ascii="Arial" w:hAnsi="Arial" w:hint="default"/>
      </w:rPr>
    </w:lvl>
    <w:lvl w:ilvl="4" w:tplc="DE0AD46C" w:tentative="1">
      <w:start w:val="1"/>
      <w:numFmt w:val="bullet"/>
      <w:lvlText w:val="•"/>
      <w:lvlJc w:val="left"/>
      <w:pPr>
        <w:tabs>
          <w:tab w:val="num" w:pos="3600"/>
        </w:tabs>
        <w:ind w:left="3600" w:hanging="360"/>
      </w:pPr>
      <w:rPr>
        <w:rFonts w:ascii="Arial" w:hAnsi="Arial" w:hint="default"/>
      </w:rPr>
    </w:lvl>
    <w:lvl w:ilvl="5" w:tplc="BFC6ADF4" w:tentative="1">
      <w:start w:val="1"/>
      <w:numFmt w:val="bullet"/>
      <w:lvlText w:val="•"/>
      <w:lvlJc w:val="left"/>
      <w:pPr>
        <w:tabs>
          <w:tab w:val="num" w:pos="4320"/>
        </w:tabs>
        <w:ind w:left="4320" w:hanging="360"/>
      </w:pPr>
      <w:rPr>
        <w:rFonts w:ascii="Arial" w:hAnsi="Arial" w:hint="default"/>
      </w:rPr>
    </w:lvl>
    <w:lvl w:ilvl="6" w:tplc="E034E126" w:tentative="1">
      <w:start w:val="1"/>
      <w:numFmt w:val="bullet"/>
      <w:lvlText w:val="•"/>
      <w:lvlJc w:val="left"/>
      <w:pPr>
        <w:tabs>
          <w:tab w:val="num" w:pos="5040"/>
        </w:tabs>
        <w:ind w:left="5040" w:hanging="360"/>
      </w:pPr>
      <w:rPr>
        <w:rFonts w:ascii="Arial" w:hAnsi="Arial" w:hint="default"/>
      </w:rPr>
    </w:lvl>
    <w:lvl w:ilvl="7" w:tplc="0810AC94" w:tentative="1">
      <w:start w:val="1"/>
      <w:numFmt w:val="bullet"/>
      <w:lvlText w:val="•"/>
      <w:lvlJc w:val="left"/>
      <w:pPr>
        <w:tabs>
          <w:tab w:val="num" w:pos="5760"/>
        </w:tabs>
        <w:ind w:left="5760" w:hanging="360"/>
      </w:pPr>
      <w:rPr>
        <w:rFonts w:ascii="Arial" w:hAnsi="Arial" w:hint="default"/>
      </w:rPr>
    </w:lvl>
    <w:lvl w:ilvl="8" w:tplc="224ABEF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0E56191B"/>
    <w:multiLevelType w:val="multilevel"/>
    <w:tmpl w:val="61E03310"/>
    <w:lvl w:ilvl="0">
      <w:start w:val="1"/>
      <w:numFmt w:val="decimal"/>
      <w:lvlText w:val="%1."/>
      <w:lvlJc w:val="left"/>
      <w:pPr>
        <w:tabs>
          <w:tab w:val="num" w:pos="1077"/>
        </w:tabs>
        <w:ind w:left="794" w:hanging="794"/>
      </w:pPr>
      <w:rPr>
        <w:rFonts w:hint="default"/>
      </w:rPr>
    </w:lvl>
    <w:lvl w:ilvl="1">
      <w:start w:val="1"/>
      <w:numFmt w:val="decimal"/>
      <w:lvlText w:val="%1.%2."/>
      <w:lvlJc w:val="left"/>
      <w:pPr>
        <w:tabs>
          <w:tab w:val="num" w:pos="2476"/>
        </w:tabs>
        <w:ind w:left="2134" w:hanging="432"/>
      </w:pPr>
      <w:rPr>
        <w:rFonts w:hint="default"/>
      </w:rPr>
    </w:lvl>
    <w:lvl w:ilvl="2">
      <w:start w:val="1"/>
      <w:numFmt w:val="decimal"/>
      <w:lvlText w:val="%1.%2.%3."/>
      <w:lvlJc w:val="left"/>
      <w:pPr>
        <w:tabs>
          <w:tab w:val="num" w:pos="1758"/>
        </w:tabs>
        <w:ind w:left="1224" w:hanging="504"/>
      </w:pPr>
      <w:rPr>
        <w:rFonts w:hint="default"/>
      </w:rPr>
    </w:lvl>
    <w:lvl w:ilvl="3">
      <w:start w:val="1"/>
      <w:numFmt w:val="decimal"/>
      <w:lvlText w:val="%1.%2.%3.%4."/>
      <w:lvlJc w:val="left"/>
      <w:pPr>
        <w:tabs>
          <w:tab w:val="num" w:pos="2155"/>
        </w:tabs>
        <w:ind w:left="1728" w:hanging="648"/>
      </w:pPr>
      <w:rPr>
        <w:rFonts w:hint="default"/>
      </w:rPr>
    </w:lvl>
    <w:lvl w:ilvl="4">
      <w:start w:val="1"/>
      <w:numFmt w:val="decimal"/>
      <w:lvlText w:val="%1.%2.%3.%4.%5."/>
      <w:lvlJc w:val="left"/>
      <w:pPr>
        <w:tabs>
          <w:tab w:val="num" w:pos="2728"/>
        </w:tabs>
        <w:ind w:left="2352" w:hanging="792"/>
      </w:pPr>
      <w:rPr>
        <w:rFonts w:hint="default"/>
      </w:rPr>
    </w:lvl>
    <w:lvl w:ilvl="5">
      <w:start w:val="1"/>
      <w:numFmt w:val="decimal"/>
      <w:lvlText w:val="%1.%2.%3.%4.%5.%6."/>
      <w:lvlJc w:val="left"/>
      <w:pPr>
        <w:tabs>
          <w:tab w:val="num" w:pos="3119"/>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0F8E75F8"/>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10FB0FFF"/>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12EB78F7"/>
    <w:multiLevelType w:val="hybridMultilevel"/>
    <w:tmpl w:val="2E083352"/>
    <w:lvl w:ilvl="0" w:tplc="040C0001">
      <w:start w:val="1"/>
      <w:numFmt w:val="bullet"/>
      <w:lvlText w:val=""/>
      <w:lvlJc w:val="left"/>
      <w:pPr>
        <w:tabs>
          <w:tab w:val="num" w:pos="723"/>
        </w:tabs>
        <w:ind w:left="72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3B37416"/>
    <w:multiLevelType w:val="hybridMultilevel"/>
    <w:tmpl w:val="7D0CA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675D4E"/>
    <w:multiLevelType w:val="hybridMultilevel"/>
    <w:tmpl w:val="D222F8B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3" w15:restartNumberingAfterBreak="0">
    <w:nsid w:val="150F1C58"/>
    <w:multiLevelType w:val="hybridMultilevel"/>
    <w:tmpl w:val="3E2EE530"/>
    <w:lvl w:ilvl="0" w:tplc="1A2A2FA4">
      <w:start w:val="1"/>
      <w:numFmt w:val="bullet"/>
      <w:lvlText w:val=""/>
      <w:lvlJc w:val="left"/>
      <w:pPr>
        <w:tabs>
          <w:tab w:val="num" w:pos="720"/>
        </w:tabs>
        <w:ind w:left="720" w:hanging="360"/>
      </w:pPr>
      <w:rPr>
        <w:rFonts w:ascii="Wingdings 2" w:hAnsi="Wingdings 2" w:hint="default"/>
      </w:rPr>
    </w:lvl>
    <w:lvl w:ilvl="1" w:tplc="364A0352" w:tentative="1">
      <w:start w:val="1"/>
      <w:numFmt w:val="bullet"/>
      <w:lvlText w:val=""/>
      <w:lvlJc w:val="left"/>
      <w:pPr>
        <w:tabs>
          <w:tab w:val="num" w:pos="1440"/>
        </w:tabs>
        <w:ind w:left="1440" w:hanging="360"/>
      </w:pPr>
      <w:rPr>
        <w:rFonts w:ascii="Wingdings 2" w:hAnsi="Wingdings 2" w:hint="default"/>
      </w:rPr>
    </w:lvl>
    <w:lvl w:ilvl="2" w:tplc="98BC01A6" w:tentative="1">
      <w:start w:val="1"/>
      <w:numFmt w:val="bullet"/>
      <w:lvlText w:val=""/>
      <w:lvlJc w:val="left"/>
      <w:pPr>
        <w:tabs>
          <w:tab w:val="num" w:pos="2160"/>
        </w:tabs>
        <w:ind w:left="2160" w:hanging="360"/>
      </w:pPr>
      <w:rPr>
        <w:rFonts w:ascii="Wingdings 2" w:hAnsi="Wingdings 2" w:hint="default"/>
      </w:rPr>
    </w:lvl>
    <w:lvl w:ilvl="3" w:tplc="B31846A6" w:tentative="1">
      <w:start w:val="1"/>
      <w:numFmt w:val="bullet"/>
      <w:lvlText w:val=""/>
      <w:lvlJc w:val="left"/>
      <w:pPr>
        <w:tabs>
          <w:tab w:val="num" w:pos="2880"/>
        </w:tabs>
        <w:ind w:left="2880" w:hanging="360"/>
      </w:pPr>
      <w:rPr>
        <w:rFonts w:ascii="Wingdings 2" w:hAnsi="Wingdings 2" w:hint="default"/>
      </w:rPr>
    </w:lvl>
    <w:lvl w:ilvl="4" w:tplc="E520BB78" w:tentative="1">
      <w:start w:val="1"/>
      <w:numFmt w:val="bullet"/>
      <w:lvlText w:val=""/>
      <w:lvlJc w:val="left"/>
      <w:pPr>
        <w:tabs>
          <w:tab w:val="num" w:pos="3600"/>
        </w:tabs>
        <w:ind w:left="3600" w:hanging="360"/>
      </w:pPr>
      <w:rPr>
        <w:rFonts w:ascii="Wingdings 2" w:hAnsi="Wingdings 2" w:hint="default"/>
      </w:rPr>
    </w:lvl>
    <w:lvl w:ilvl="5" w:tplc="611C0A64" w:tentative="1">
      <w:start w:val="1"/>
      <w:numFmt w:val="bullet"/>
      <w:lvlText w:val=""/>
      <w:lvlJc w:val="left"/>
      <w:pPr>
        <w:tabs>
          <w:tab w:val="num" w:pos="4320"/>
        </w:tabs>
        <w:ind w:left="4320" w:hanging="360"/>
      </w:pPr>
      <w:rPr>
        <w:rFonts w:ascii="Wingdings 2" w:hAnsi="Wingdings 2" w:hint="default"/>
      </w:rPr>
    </w:lvl>
    <w:lvl w:ilvl="6" w:tplc="E8209578" w:tentative="1">
      <w:start w:val="1"/>
      <w:numFmt w:val="bullet"/>
      <w:lvlText w:val=""/>
      <w:lvlJc w:val="left"/>
      <w:pPr>
        <w:tabs>
          <w:tab w:val="num" w:pos="5040"/>
        </w:tabs>
        <w:ind w:left="5040" w:hanging="360"/>
      </w:pPr>
      <w:rPr>
        <w:rFonts w:ascii="Wingdings 2" w:hAnsi="Wingdings 2" w:hint="default"/>
      </w:rPr>
    </w:lvl>
    <w:lvl w:ilvl="7" w:tplc="ACD038B0" w:tentative="1">
      <w:start w:val="1"/>
      <w:numFmt w:val="bullet"/>
      <w:lvlText w:val=""/>
      <w:lvlJc w:val="left"/>
      <w:pPr>
        <w:tabs>
          <w:tab w:val="num" w:pos="5760"/>
        </w:tabs>
        <w:ind w:left="5760" w:hanging="360"/>
      </w:pPr>
      <w:rPr>
        <w:rFonts w:ascii="Wingdings 2" w:hAnsi="Wingdings 2" w:hint="default"/>
      </w:rPr>
    </w:lvl>
    <w:lvl w:ilvl="8" w:tplc="4ACE2366" w:tentative="1">
      <w:start w:val="1"/>
      <w:numFmt w:val="bullet"/>
      <w:lvlText w:val=""/>
      <w:lvlJc w:val="left"/>
      <w:pPr>
        <w:tabs>
          <w:tab w:val="num" w:pos="6480"/>
        </w:tabs>
        <w:ind w:left="6480" w:hanging="360"/>
      </w:pPr>
      <w:rPr>
        <w:rFonts w:ascii="Wingdings 2" w:hAnsi="Wingdings 2" w:hint="default"/>
      </w:rPr>
    </w:lvl>
  </w:abstractNum>
  <w:abstractNum w:abstractNumId="74" w15:restartNumberingAfterBreak="0">
    <w:nsid w:val="16D81666"/>
    <w:multiLevelType w:val="multilevel"/>
    <w:tmpl w:val="B03C6DCA"/>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851"/>
        </w:tabs>
        <w:ind w:left="851" w:hanging="851"/>
      </w:pPr>
      <w:rPr>
        <w:rFonts w:hint="default"/>
        <w:color w:val="auto"/>
      </w:rPr>
    </w:lvl>
    <w:lvl w:ilvl="2">
      <w:start w:val="1"/>
      <w:numFmt w:val="decimal"/>
      <w:pStyle w:val="Titre3"/>
      <w:lvlText w:val="%1.%2.%3"/>
      <w:lvlJc w:val="left"/>
      <w:pPr>
        <w:tabs>
          <w:tab w:val="num" w:pos="851"/>
        </w:tabs>
        <w:ind w:left="851" w:hanging="851"/>
      </w:pPr>
      <w:rPr>
        <w:rFonts w:hint="default"/>
      </w:rPr>
    </w:lvl>
    <w:lvl w:ilvl="3">
      <w:start w:val="1"/>
      <w:numFmt w:val="decimal"/>
      <w:pStyle w:val="Titre4"/>
      <w:lvlText w:val="%1.%2.%3.%4"/>
      <w:lvlJc w:val="left"/>
      <w:pPr>
        <w:tabs>
          <w:tab w:val="num" w:pos="4819"/>
        </w:tabs>
        <w:ind w:left="4819" w:hanging="850"/>
      </w:pPr>
      <w:rPr>
        <w:rFonts w:hint="default"/>
      </w:rPr>
    </w:lvl>
    <w:lvl w:ilvl="4">
      <w:start w:val="1"/>
      <w:numFmt w:val="decimal"/>
      <w:pStyle w:val="Titre5"/>
      <w:lvlText w:val="%1.%2.%3.%4.%5"/>
      <w:lvlJc w:val="left"/>
      <w:pPr>
        <w:tabs>
          <w:tab w:val="num" w:pos="1871"/>
        </w:tabs>
        <w:ind w:left="1871" w:hanging="1020"/>
      </w:pPr>
      <w:rPr>
        <w:rFonts w:hint="default"/>
      </w:rPr>
    </w:lvl>
    <w:lvl w:ilvl="5">
      <w:start w:val="1"/>
      <w:numFmt w:val="decimal"/>
      <w:pStyle w:val="Titre6"/>
      <w:lvlText w:val="%1.%2.%3.%4.%5.%6"/>
      <w:lvlJc w:val="left"/>
      <w:pPr>
        <w:tabs>
          <w:tab w:val="num" w:pos="2041"/>
        </w:tabs>
        <w:ind w:left="2041" w:hanging="1190"/>
      </w:pPr>
      <w:rPr>
        <w:rFonts w:hint="default"/>
      </w:rPr>
    </w:lvl>
    <w:lvl w:ilvl="6">
      <w:start w:val="1"/>
      <w:numFmt w:val="decimal"/>
      <w:pStyle w:val="Titre7"/>
      <w:lvlText w:val="%1.%2.%3.%4.%5.%6.%7"/>
      <w:lvlJc w:val="left"/>
      <w:pPr>
        <w:tabs>
          <w:tab w:val="num" w:pos="2268"/>
        </w:tabs>
        <w:ind w:left="2268" w:hanging="1417"/>
      </w:pPr>
      <w:rPr>
        <w:rFonts w:hint="default"/>
      </w:rPr>
    </w:lvl>
    <w:lvl w:ilvl="7">
      <w:start w:val="1"/>
      <w:numFmt w:val="decimal"/>
      <w:pStyle w:val="Titre8"/>
      <w:lvlText w:val="%1.%2.%3.%4.%5.%6.%7.%8"/>
      <w:lvlJc w:val="left"/>
      <w:pPr>
        <w:tabs>
          <w:tab w:val="num" w:pos="2438"/>
        </w:tabs>
        <w:ind w:left="2438" w:hanging="1587"/>
      </w:pPr>
      <w:rPr>
        <w:rFonts w:hint="default"/>
      </w:rPr>
    </w:lvl>
    <w:lvl w:ilvl="8">
      <w:start w:val="1"/>
      <w:numFmt w:val="decimal"/>
      <w:pStyle w:val="Titre9"/>
      <w:lvlText w:val="%1.%2.%3.%4.%5.%6.%7.%8.%9"/>
      <w:lvlJc w:val="left"/>
      <w:pPr>
        <w:tabs>
          <w:tab w:val="num" w:pos="2608"/>
        </w:tabs>
        <w:ind w:left="2608" w:hanging="1757"/>
      </w:pPr>
      <w:rPr>
        <w:rFonts w:hint="default"/>
      </w:rPr>
    </w:lvl>
  </w:abstractNum>
  <w:abstractNum w:abstractNumId="75" w15:restartNumberingAfterBreak="0">
    <w:nsid w:val="17A25EF7"/>
    <w:multiLevelType w:val="hybridMultilevel"/>
    <w:tmpl w:val="2A1E3400"/>
    <w:lvl w:ilvl="0" w:tplc="6AB2A966">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188D1DDF"/>
    <w:multiLevelType w:val="hybridMultilevel"/>
    <w:tmpl w:val="2A741916"/>
    <w:lvl w:ilvl="0" w:tplc="74B85A64">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7" w15:restartNumberingAfterBreak="0">
    <w:nsid w:val="18B57F0F"/>
    <w:multiLevelType w:val="hybridMultilevel"/>
    <w:tmpl w:val="73F4DFCA"/>
    <w:lvl w:ilvl="0" w:tplc="040C0001">
      <w:start w:val="1"/>
      <w:numFmt w:val="bullet"/>
      <w:lvlText w:val=""/>
      <w:lvlJc w:val="left"/>
      <w:pPr>
        <w:tabs>
          <w:tab w:val="num" w:pos="730"/>
        </w:tabs>
        <w:ind w:left="730" w:hanging="360"/>
      </w:pPr>
      <w:rPr>
        <w:rFonts w:ascii="Symbol" w:hAnsi="Symbol" w:hint="default"/>
      </w:rPr>
    </w:lvl>
    <w:lvl w:ilvl="1" w:tplc="040C0003" w:tentative="1">
      <w:start w:val="1"/>
      <w:numFmt w:val="bullet"/>
      <w:lvlText w:val="o"/>
      <w:lvlJc w:val="left"/>
      <w:pPr>
        <w:tabs>
          <w:tab w:val="num" w:pos="1450"/>
        </w:tabs>
        <w:ind w:left="1450" w:hanging="360"/>
      </w:pPr>
      <w:rPr>
        <w:rFonts w:ascii="Courier New" w:hAnsi="Courier New" w:cs="Courier New" w:hint="default"/>
      </w:rPr>
    </w:lvl>
    <w:lvl w:ilvl="2" w:tplc="040C0005" w:tentative="1">
      <w:start w:val="1"/>
      <w:numFmt w:val="bullet"/>
      <w:lvlText w:val=""/>
      <w:lvlJc w:val="left"/>
      <w:pPr>
        <w:tabs>
          <w:tab w:val="num" w:pos="2170"/>
        </w:tabs>
        <w:ind w:left="2170" w:hanging="360"/>
      </w:pPr>
      <w:rPr>
        <w:rFonts w:ascii="Wingdings" w:hAnsi="Wingdings" w:hint="default"/>
      </w:rPr>
    </w:lvl>
    <w:lvl w:ilvl="3" w:tplc="040C0001" w:tentative="1">
      <w:start w:val="1"/>
      <w:numFmt w:val="bullet"/>
      <w:lvlText w:val=""/>
      <w:lvlJc w:val="left"/>
      <w:pPr>
        <w:tabs>
          <w:tab w:val="num" w:pos="2890"/>
        </w:tabs>
        <w:ind w:left="2890" w:hanging="360"/>
      </w:pPr>
      <w:rPr>
        <w:rFonts w:ascii="Symbol" w:hAnsi="Symbol" w:hint="default"/>
      </w:rPr>
    </w:lvl>
    <w:lvl w:ilvl="4" w:tplc="040C0003" w:tentative="1">
      <w:start w:val="1"/>
      <w:numFmt w:val="bullet"/>
      <w:lvlText w:val="o"/>
      <w:lvlJc w:val="left"/>
      <w:pPr>
        <w:tabs>
          <w:tab w:val="num" w:pos="3610"/>
        </w:tabs>
        <w:ind w:left="3610" w:hanging="360"/>
      </w:pPr>
      <w:rPr>
        <w:rFonts w:ascii="Courier New" w:hAnsi="Courier New" w:cs="Courier New" w:hint="default"/>
      </w:rPr>
    </w:lvl>
    <w:lvl w:ilvl="5" w:tplc="040C0005" w:tentative="1">
      <w:start w:val="1"/>
      <w:numFmt w:val="bullet"/>
      <w:lvlText w:val=""/>
      <w:lvlJc w:val="left"/>
      <w:pPr>
        <w:tabs>
          <w:tab w:val="num" w:pos="4330"/>
        </w:tabs>
        <w:ind w:left="4330" w:hanging="360"/>
      </w:pPr>
      <w:rPr>
        <w:rFonts w:ascii="Wingdings" w:hAnsi="Wingdings" w:hint="default"/>
      </w:rPr>
    </w:lvl>
    <w:lvl w:ilvl="6" w:tplc="040C0001" w:tentative="1">
      <w:start w:val="1"/>
      <w:numFmt w:val="bullet"/>
      <w:lvlText w:val=""/>
      <w:lvlJc w:val="left"/>
      <w:pPr>
        <w:tabs>
          <w:tab w:val="num" w:pos="5050"/>
        </w:tabs>
        <w:ind w:left="5050" w:hanging="360"/>
      </w:pPr>
      <w:rPr>
        <w:rFonts w:ascii="Symbol" w:hAnsi="Symbol" w:hint="default"/>
      </w:rPr>
    </w:lvl>
    <w:lvl w:ilvl="7" w:tplc="040C0003" w:tentative="1">
      <w:start w:val="1"/>
      <w:numFmt w:val="bullet"/>
      <w:lvlText w:val="o"/>
      <w:lvlJc w:val="left"/>
      <w:pPr>
        <w:tabs>
          <w:tab w:val="num" w:pos="5770"/>
        </w:tabs>
        <w:ind w:left="5770" w:hanging="360"/>
      </w:pPr>
      <w:rPr>
        <w:rFonts w:ascii="Courier New" w:hAnsi="Courier New" w:cs="Courier New" w:hint="default"/>
      </w:rPr>
    </w:lvl>
    <w:lvl w:ilvl="8" w:tplc="040C0005" w:tentative="1">
      <w:start w:val="1"/>
      <w:numFmt w:val="bullet"/>
      <w:lvlText w:val=""/>
      <w:lvlJc w:val="left"/>
      <w:pPr>
        <w:tabs>
          <w:tab w:val="num" w:pos="6490"/>
        </w:tabs>
        <w:ind w:left="6490" w:hanging="360"/>
      </w:pPr>
      <w:rPr>
        <w:rFonts w:ascii="Wingdings" w:hAnsi="Wingdings" w:hint="default"/>
      </w:rPr>
    </w:lvl>
  </w:abstractNum>
  <w:abstractNum w:abstractNumId="78" w15:restartNumberingAfterBreak="0">
    <w:nsid w:val="18C85442"/>
    <w:multiLevelType w:val="hybridMultilevel"/>
    <w:tmpl w:val="3FC6070E"/>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E5E2E48"/>
    <w:multiLevelType w:val="hybridMultilevel"/>
    <w:tmpl w:val="8EA4D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E6419E0"/>
    <w:multiLevelType w:val="hybridMultilevel"/>
    <w:tmpl w:val="D4D6A2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0AF002D"/>
    <w:multiLevelType w:val="hybridMultilevel"/>
    <w:tmpl w:val="F656C4F2"/>
    <w:lvl w:ilvl="0" w:tplc="040C0001">
      <w:start w:val="1"/>
      <w:numFmt w:val="bullet"/>
      <w:lvlText w:val=""/>
      <w:lvlJc w:val="left"/>
      <w:pPr>
        <w:tabs>
          <w:tab w:val="num" w:pos="722"/>
        </w:tabs>
        <w:ind w:left="722" w:hanging="360"/>
      </w:pPr>
      <w:rPr>
        <w:rFonts w:ascii="Symbol" w:hAnsi="Symbol" w:hint="default"/>
      </w:rPr>
    </w:lvl>
    <w:lvl w:ilvl="1" w:tplc="040C0003" w:tentative="1">
      <w:start w:val="1"/>
      <w:numFmt w:val="bullet"/>
      <w:lvlText w:val="o"/>
      <w:lvlJc w:val="left"/>
      <w:pPr>
        <w:tabs>
          <w:tab w:val="num" w:pos="1442"/>
        </w:tabs>
        <w:ind w:left="1442" w:hanging="360"/>
      </w:pPr>
      <w:rPr>
        <w:rFonts w:ascii="Courier New" w:hAnsi="Courier New" w:cs="Courier New" w:hint="default"/>
      </w:rPr>
    </w:lvl>
    <w:lvl w:ilvl="2" w:tplc="040C0005" w:tentative="1">
      <w:start w:val="1"/>
      <w:numFmt w:val="bullet"/>
      <w:lvlText w:val=""/>
      <w:lvlJc w:val="left"/>
      <w:pPr>
        <w:tabs>
          <w:tab w:val="num" w:pos="2162"/>
        </w:tabs>
        <w:ind w:left="2162" w:hanging="360"/>
      </w:pPr>
      <w:rPr>
        <w:rFonts w:ascii="Wingdings" w:hAnsi="Wingdings" w:hint="default"/>
      </w:rPr>
    </w:lvl>
    <w:lvl w:ilvl="3" w:tplc="040C0001" w:tentative="1">
      <w:start w:val="1"/>
      <w:numFmt w:val="bullet"/>
      <w:lvlText w:val=""/>
      <w:lvlJc w:val="left"/>
      <w:pPr>
        <w:tabs>
          <w:tab w:val="num" w:pos="2882"/>
        </w:tabs>
        <w:ind w:left="2882" w:hanging="360"/>
      </w:pPr>
      <w:rPr>
        <w:rFonts w:ascii="Symbol" w:hAnsi="Symbol" w:hint="default"/>
      </w:rPr>
    </w:lvl>
    <w:lvl w:ilvl="4" w:tplc="040C0003" w:tentative="1">
      <w:start w:val="1"/>
      <w:numFmt w:val="bullet"/>
      <w:lvlText w:val="o"/>
      <w:lvlJc w:val="left"/>
      <w:pPr>
        <w:tabs>
          <w:tab w:val="num" w:pos="3602"/>
        </w:tabs>
        <w:ind w:left="3602" w:hanging="360"/>
      </w:pPr>
      <w:rPr>
        <w:rFonts w:ascii="Courier New" w:hAnsi="Courier New" w:cs="Courier New" w:hint="default"/>
      </w:rPr>
    </w:lvl>
    <w:lvl w:ilvl="5" w:tplc="040C0005" w:tentative="1">
      <w:start w:val="1"/>
      <w:numFmt w:val="bullet"/>
      <w:lvlText w:val=""/>
      <w:lvlJc w:val="left"/>
      <w:pPr>
        <w:tabs>
          <w:tab w:val="num" w:pos="4322"/>
        </w:tabs>
        <w:ind w:left="4322" w:hanging="360"/>
      </w:pPr>
      <w:rPr>
        <w:rFonts w:ascii="Wingdings" w:hAnsi="Wingdings" w:hint="default"/>
      </w:rPr>
    </w:lvl>
    <w:lvl w:ilvl="6" w:tplc="040C0001" w:tentative="1">
      <w:start w:val="1"/>
      <w:numFmt w:val="bullet"/>
      <w:lvlText w:val=""/>
      <w:lvlJc w:val="left"/>
      <w:pPr>
        <w:tabs>
          <w:tab w:val="num" w:pos="5042"/>
        </w:tabs>
        <w:ind w:left="5042" w:hanging="360"/>
      </w:pPr>
      <w:rPr>
        <w:rFonts w:ascii="Symbol" w:hAnsi="Symbol" w:hint="default"/>
      </w:rPr>
    </w:lvl>
    <w:lvl w:ilvl="7" w:tplc="040C0003" w:tentative="1">
      <w:start w:val="1"/>
      <w:numFmt w:val="bullet"/>
      <w:lvlText w:val="o"/>
      <w:lvlJc w:val="left"/>
      <w:pPr>
        <w:tabs>
          <w:tab w:val="num" w:pos="5762"/>
        </w:tabs>
        <w:ind w:left="5762" w:hanging="360"/>
      </w:pPr>
      <w:rPr>
        <w:rFonts w:ascii="Courier New" w:hAnsi="Courier New" w:cs="Courier New" w:hint="default"/>
      </w:rPr>
    </w:lvl>
    <w:lvl w:ilvl="8" w:tplc="040C0005" w:tentative="1">
      <w:start w:val="1"/>
      <w:numFmt w:val="bullet"/>
      <w:lvlText w:val=""/>
      <w:lvlJc w:val="left"/>
      <w:pPr>
        <w:tabs>
          <w:tab w:val="num" w:pos="6482"/>
        </w:tabs>
        <w:ind w:left="6482" w:hanging="360"/>
      </w:pPr>
      <w:rPr>
        <w:rFonts w:ascii="Wingdings" w:hAnsi="Wingdings" w:hint="default"/>
      </w:rPr>
    </w:lvl>
  </w:abstractNum>
  <w:abstractNum w:abstractNumId="82" w15:restartNumberingAfterBreak="0">
    <w:nsid w:val="20C267D7"/>
    <w:multiLevelType w:val="hybridMultilevel"/>
    <w:tmpl w:val="D48ECA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45F7E00"/>
    <w:multiLevelType w:val="hybridMultilevel"/>
    <w:tmpl w:val="2B94135C"/>
    <w:lvl w:ilvl="0" w:tplc="040C0001">
      <w:start w:val="15"/>
      <w:numFmt w:val="bullet"/>
      <w:lvlText w:val="-"/>
      <w:lvlJc w:val="left"/>
      <w:pPr>
        <w:tabs>
          <w:tab w:val="num" w:pos="360"/>
        </w:tabs>
        <w:ind w:left="360" w:hanging="360"/>
      </w:pPr>
      <w:rPr>
        <w:rFonts w:ascii="Arial Narrow" w:eastAsia="Times New Roman" w:hAnsi="Arial Narrow" w:cs="Arial" w:hint="default"/>
      </w:rPr>
    </w:lvl>
    <w:lvl w:ilvl="1" w:tplc="FBA45886">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2605506A"/>
    <w:multiLevelType w:val="hybridMultilevel"/>
    <w:tmpl w:val="9232F48A"/>
    <w:lvl w:ilvl="0" w:tplc="040C0001">
      <w:start w:val="1"/>
      <w:numFmt w:val="bullet"/>
      <w:lvlText w:val=""/>
      <w:lvlJc w:val="left"/>
      <w:pPr>
        <w:tabs>
          <w:tab w:val="num" w:pos="723"/>
        </w:tabs>
        <w:ind w:left="72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28660F0B"/>
    <w:multiLevelType w:val="hybridMultilevel"/>
    <w:tmpl w:val="C12AE48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E46664C"/>
    <w:multiLevelType w:val="hybridMultilevel"/>
    <w:tmpl w:val="6A4C86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07945DF"/>
    <w:multiLevelType w:val="hybridMultilevel"/>
    <w:tmpl w:val="90C2E9CC"/>
    <w:lvl w:ilvl="0" w:tplc="FFFFFFFF">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8" w15:restartNumberingAfterBreak="0">
    <w:nsid w:val="310B1D6D"/>
    <w:multiLevelType w:val="hybridMultilevel"/>
    <w:tmpl w:val="0DE8DB52"/>
    <w:lvl w:ilvl="0" w:tplc="D0640D02">
      <w:start w:val="1"/>
      <w:numFmt w:val="decimal"/>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89" w15:restartNumberingAfterBreak="0">
    <w:nsid w:val="33057342"/>
    <w:multiLevelType w:val="hybridMultilevel"/>
    <w:tmpl w:val="043EFDAA"/>
    <w:lvl w:ilvl="0" w:tplc="F4BECB82">
      <w:start w:val="1"/>
      <w:numFmt w:val="bullet"/>
      <w:lvlText w:val=""/>
      <w:lvlJc w:val="left"/>
      <w:pPr>
        <w:tabs>
          <w:tab w:val="num" w:pos="720"/>
        </w:tabs>
        <w:ind w:left="720" w:hanging="360"/>
      </w:pPr>
      <w:rPr>
        <w:rFonts w:ascii="Wingdings 2" w:hAnsi="Wingdings 2" w:hint="default"/>
      </w:rPr>
    </w:lvl>
    <w:lvl w:ilvl="1" w:tplc="CB8AEC10">
      <w:start w:val="1"/>
      <w:numFmt w:val="bullet"/>
      <w:lvlText w:val=""/>
      <w:lvlJc w:val="left"/>
      <w:pPr>
        <w:tabs>
          <w:tab w:val="num" w:pos="1440"/>
        </w:tabs>
        <w:ind w:left="1440" w:hanging="360"/>
      </w:pPr>
      <w:rPr>
        <w:rFonts w:ascii="Wingdings 2" w:hAnsi="Wingdings 2" w:hint="default"/>
      </w:rPr>
    </w:lvl>
    <w:lvl w:ilvl="2" w:tplc="DC901844" w:tentative="1">
      <w:start w:val="1"/>
      <w:numFmt w:val="bullet"/>
      <w:lvlText w:val=""/>
      <w:lvlJc w:val="left"/>
      <w:pPr>
        <w:tabs>
          <w:tab w:val="num" w:pos="2160"/>
        </w:tabs>
        <w:ind w:left="2160" w:hanging="360"/>
      </w:pPr>
      <w:rPr>
        <w:rFonts w:ascii="Wingdings 2" w:hAnsi="Wingdings 2" w:hint="default"/>
      </w:rPr>
    </w:lvl>
    <w:lvl w:ilvl="3" w:tplc="3104F1DC" w:tentative="1">
      <w:start w:val="1"/>
      <w:numFmt w:val="bullet"/>
      <w:lvlText w:val=""/>
      <w:lvlJc w:val="left"/>
      <w:pPr>
        <w:tabs>
          <w:tab w:val="num" w:pos="2880"/>
        </w:tabs>
        <w:ind w:left="2880" w:hanging="360"/>
      </w:pPr>
      <w:rPr>
        <w:rFonts w:ascii="Wingdings 2" w:hAnsi="Wingdings 2" w:hint="default"/>
      </w:rPr>
    </w:lvl>
    <w:lvl w:ilvl="4" w:tplc="4CB04A72" w:tentative="1">
      <w:start w:val="1"/>
      <w:numFmt w:val="bullet"/>
      <w:lvlText w:val=""/>
      <w:lvlJc w:val="left"/>
      <w:pPr>
        <w:tabs>
          <w:tab w:val="num" w:pos="3600"/>
        </w:tabs>
        <w:ind w:left="3600" w:hanging="360"/>
      </w:pPr>
      <w:rPr>
        <w:rFonts w:ascii="Wingdings 2" w:hAnsi="Wingdings 2" w:hint="default"/>
      </w:rPr>
    </w:lvl>
    <w:lvl w:ilvl="5" w:tplc="844E45EC" w:tentative="1">
      <w:start w:val="1"/>
      <w:numFmt w:val="bullet"/>
      <w:lvlText w:val=""/>
      <w:lvlJc w:val="left"/>
      <w:pPr>
        <w:tabs>
          <w:tab w:val="num" w:pos="4320"/>
        </w:tabs>
        <w:ind w:left="4320" w:hanging="360"/>
      </w:pPr>
      <w:rPr>
        <w:rFonts w:ascii="Wingdings 2" w:hAnsi="Wingdings 2" w:hint="default"/>
      </w:rPr>
    </w:lvl>
    <w:lvl w:ilvl="6" w:tplc="CA44179C" w:tentative="1">
      <w:start w:val="1"/>
      <w:numFmt w:val="bullet"/>
      <w:lvlText w:val=""/>
      <w:lvlJc w:val="left"/>
      <w:pPr>
        <w:tabs>
          <w:tab w:val="num" w:pos="5040"/>
        </w:tabs>
        <w:ind w:left="5040" w:hanging="360"/>
      </w:pPr>
      <w:rPr>
        <w:rFonts w:ascii="Wingdings 2" w:hAnsi="Wingdings 2" w:hint="default"/>
      </w:rPr>
    </w:lvl>
    <w:lvl w:ilvl="7" w:tplc="29200D4E" w:tentative="1">
      <w:start w:val="1"/>
      <w:numFmt w:val="bullet"/>
      <w:lvlText w:val=""/>
      <w:lvlJc w:val="left"/>
      <w:pPr>
        <w:tabs>
          <w:tab w:val="num" w:pos="5760"/>
        </w:tabs>
        <w:ind w:left="5760" w:hanging="360"/>
      </w:pPr>
      <w:rPr>
        <w:rFonts w:ascii="Wingdings 2" w:hAnsi="Wingdings 2" w:hint="default"/>
      </w:rPr>
    </w:lvl>
    <w:lvl w:ilvl="8" w:tplc="E7CAB4C2" w:tentative="1">
      <w:start w:val="1"/>
      <w:numFmt w:val="bullet"/>
      <w:lvlText w:val=""/>
      <w:lvlJc w:val="left"/>
      <w:pPr>
        <w:tabs>
          <w:tab w:val="num" w:pos="6480"/>
        </w:tabs>
        <w:ind w:left="6480" w:hanging="360"/>
      </w:pPr>
      <w:rPr>
        <w:rFonts w:ascii="Wingdings 2" w:hAnsi="Wingdings 2" w:hint="default"/>
      </w:rPr>
    </w:lvl>
  </w:abstractNum>
  <w:abstractNum w:abstractNumId="90" w15:restartNumberingAfterBreak="0">
    <w:nsid w:val="34EE441B"/>
    <w:multiLevelType w:val="hybridMultilevel"/>
    <w:tmpl w:val="2A80E2CA"/>
    <w:lvl w:ilvl="0" w:tplc="0000000F">
      <w:start w:val="1"/>
      <w:numFmt w:val="bullet"/>
      <w:lvlText w:val=""/>
      <w:lvlJc w:val="left"/>
      <w:pPr>
        <w:tabs>
          <w:tab w:val="num" w:pos="720"/>
        </w:tabs>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367B5323"/>
    <w:multiLevelType w:val="hybridMultilevel"/>
    <w:tmpl w:val="B4E43942"/>
    <w:lvl w:ilvl="0" w:tplc="3F1C6D3C">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8293907"/>
    <w:multiLevelType w:val="hybridMultilevel"/>
    <w:tmpl w:val="192050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39BB6AE6"/>
    <w:multiLevelType w:val="hybridMultilevel"/>
    <w:tmpl w:val="78D2A3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0C74326"/>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5" w15:restartNumberingAfterBreak="0">
    <w:nsid w:val="4127494C"/>
    <w:multiLevelType w:val="hybridMultilevel"/>
    <w:tmpl w:val="6BE24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1B45E89"/>
    <w:multiLevelType w:val="hybridMultilevel"/>
    <w:tmpl w:val="01FA3A0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2CE0AFF"/>
    <w:multiLevelType w:val="hybridMultilevel"/>
    <w:tmpl w:val="1A2C484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8" w15:restartNumberingAfterBreak="0">
    <w:nsid w:val="42CF42DB"/>
    <w:multiLevelType w:val="hybridMultilevel"/>
    <w:tmpl w:val="259C1386"/>
    <w:lvl w:ilvl="0" w:tplc="040C0001">
      <w:start w:val="1"/>
      <w:numFmt w:val="bullet"/>
      <w:lvlText w:val=""/>
      <w:lvlJc w:val="left"/>
      <w:pPr>
        <w:tabs>
          <w:tab w:val="num" w:pos="723"/>
        </w:tabs>
        <w:ind w:left="72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4FF1BF8"/>
    <w:multiLevelType w:val="hybridMultilevel"/>
    <w:tmpl w:val="3FB6A300"/>
    <w:lvl w:ilvl="0" w:tplc="040C0001">
      <w:start w:val="1"/>
      <w:numFmt w:val="bullet"/>
      <w:lvlText w:val=""/>
      <w:lvlJc w:val="left"/>
      <w:pPr>
        <w:tabs>
          <w:tab w:val="num" w:pos="612"/>
        </w:tabs>
        <w:ind w:left="612" w:hanging="360"/>
      </w:pPr>
      <w:rPr>
        <w:rFonts w:ascii="Symbol" w:hAnsi="Symbol" w:hint="default"/>
      </w:rPr>
    </w:lvl>
    <w:lvl w:ilvl="1" w:tplc="040C0003" w:tentative="1">
      <w:start w:val="1"/>
      <w:numFmt w:val="bullet"/>
      <w:lvlText w:val="o"/>
      <w:lvlJc w:val="left"/>
      <w:pPr>
        <w:ind w:left="1329" w:hanging="360"/>
      </w:pPr>
      <w:rPr>
        <w:rFonts w:ascii="Courier New" w:hAnsi="Courier New" w:cs="Courier New" w:hint="default"/>
      </w:rPr>
    </w:lvl>
    <w:lvl w:ilvl="2" w:tplc="040C0005" w:tentative="1">
      <w:start w:val="1"/>
      <w:numFmt w:val="bullet"/>
      <w:lvlText w:val=""/>
      <w:lvlJc w:val="left"/>
      <w:pPr>
        <w:ind w:left="2049" w:hanging="360"/>
      </w:pPr>
      <w:rPr>
        <w:rFonts w:ascii="Wingdings" w:hAnsi="Wingdings" w:hint="default"/>
      </w:rPr>
    </w:lvl>
    <w:lvl w:ilvl="3" w:tplc="040C0001" w:tentative="1">
      <w:start w:val="1"/>
      <w:numFmt w:val="bullet"/>
      <w:lvlText w:val=""/>
      <w:lvlJc w:val="left"/>
      <w:pPr>
        <w:ind w:left="2769" w:hanging="360"/>
      </w:pPr>
      <w:rPr>
        <w:rFonts w:ascii="Symbol" w:hAnsi="Symbol" w:hint="default"/>
      </w:rPr>
    </w:lvl>
    <w:lvl w:ilvl="4" w:tplc="040C0003" w:tentative="1">
      <w:start w:val="1"/>
      <w:numFmt w:val="bullet"/>
      <w:lvlText w:val="o"/>
      <w:lvlJc w:val="left"/>
      <w:pPr>
        <w:ind w:left="3489" w:hanging="360"/>
      </w:pPr>
      <w:rPr>
        <w:rFonts w:ascii="Courier New" w:hAnsi="Courier New" w:cs="Courier New" w:hint="default"/>
      </w:rPr>
    </w:lvl>
    <w:lvl w:ilvl="5" w:tplc="040C0005" w:tentative="1">
      <w:start w:val="1"/>
      <w:numFmt w:val="bullet"/>
      <w:lvlText w:val=""/>
      <w:lvlJc w:val="left"/>
      <w:pPr>
        <w:ind w:left="4209" w:hanging="360"/>
      </w:pPr>
      <w:rPr>
        <w:rFonts w:ascii="Wingdings" w:hAnsi="Wingdings" w:hint="default"/>
      </w:rPr>
    </w:lvl>
    <w:lvl w:ilvl="6" w:tplc="040C0001" w:tentative="1">
      <w:start w:val="1"/>
      <w:numFmt w:val="bullet"/>
      <w:lvlText w:val=""/>
      <w:lvlJc w:val="left"/>
      <w:pPr>
        <w:ind w:left="4929" w:hanging="360"/>
      </w:pPr>
      <w:rPr>
        <w:rFonts w:ascii="Symbol" w:hAnsi="Symbol" w:hint="default"/>
      </w:rPr>
    </w:lvl>
    <w:lvl w:ilvl="7" w:tplc="040C0003" w:tentative="1">
      <w:start w:val="1"/>
      <w:numFmt w:val="bullet"/>
      <w:lvlText w:val="o"/>
      <w:lvlJc w:val="left"/>
      <w:pPr>
        <w:ind w:left="5649" w:hanging="360"/>
      </w:pPr>
      <w:rPr>
        <w:rFonts w:ascii="Courier New" w:hAnsi="Courier New" w:cs="Courier New" w:hint="default"/>
      </w:rPr>
    </w:lvl>
    <w:lvl w:ilvl="8" w:tplc="040C0005" w:tentative="1">
      <w:start w:val="1"/>
      <w:numFmt w:val="bullet"/>
      <w:lvlText w:val=""/>
      <w:lvlJc w:val="left"/>
      <w:pPr>
        <w:ind w:left="6369" w:hanging="360"/>
      </w:pPr>
      <w:rPr>
        <w:rFonts w:ascii="Wingdings" w:hAnsi="Wingdings" w:hint="default"/>
      </w:rPr>
    </w:lvl>
  </w:abstractNum>
  <w:abstractNum w:abstractNumId="100" w15:restartNumberingAfterBreak="0">
    <w:nsid w:val="46CD5A51"/>
    <w:multiLevelType w:val="hybridMultilevel"/>
    <w:tmpl w:val="3EC8D0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9C0029A"/>
    <w:multiLevelType w:val="hybridMultilevel"/>
    <w:tmpl w:val="DF1A95C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A6F3A0E"/>
    <w:multiLevelType w:val="hybridMultilevel"/>
    <w:tmpl w:val="BB7ABA5C"/>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4A9F0A2F"/>
    <w:multiLevelType w:val="hybridMultilevel"/>
    <w:tmpl w:val="A06CB990"/>
    <w:lvl w:ilvl="0" w:tplc="040C0001">
      <w:start w:val="1"/>
      <w:numFmt w:val="bullet"/>
      <w:lvlText w:val=""/>
      <w:lvlJc w:val="left"/>
      <w:pPr>
        <w:tabs>
          <w:tab w:val="num" w:pos="723"/>
        </w:tabs>
        <w:ind w:left="72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BF538DC"/>
    <w:multiLevelType w:val="hybridMultilevel"/>
    <w:tmpl w:val="FCA25D5C"/>
    <w:lvl w:ilvl="0" w:tplc="040C0003">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5" w15:restartNumberingAfterBreak="0">
    <w:nsid w:val="4C162983"/>
    <w:multiLevelType w:val="hybridMultilevel"/>
    <w:tmpl w:val="F65E409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FD56B03"/>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7" w15:restartNumberingAfterBreak="0">
    <w:nsid w:val="50DF4724"/>
    <w:multiLevelType w:val="hybridMultilevel"/>
    <w:tmpl w:val="C972C7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10D178E"/>
    <w:multiLevelType w:val="hybridMultilevel"/>
    <w:tmpl w:val="72824ED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3407C83"/>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0" w15:restartNumberingAfterBreak="0">
    <w:nsid w:val="56C761FA"/>
    <w:multiLevelType w:val="hybridMultilevel"/>
    <w:tmpl w:val="DE3C3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8EE683F"/>
    <w:multiLevelType w:val="hybridMultilevel"/>
    <w:tmpl w:val="537C1490"/>
    <w:lvl w:ilvl="0" w:tplc="040C0001">
      <w:start w:val="1"/>
      <w:numFmt w:val="bullet"/>
      <w:lvlText w:val=""/>
      <w:lvlJc w:val="left"/>
      <w:pPr>
        <w:tabs>
          <w:tab w:val="num" w:pos="723"/>
        </w:tabs>
        <w:ind w:left="723" w:hanging="360"/>
      </w:pPr>
      <w:rPr>
        <w:rFonts w:ascii="Symbol" w:hAnsi="Symbol" w:hint="default"/>
      </w:rPr>
    </w:lvl>
    <w:lvl w:ilvl="1" w:tplc="040C0003">
      <w:start w:val="1"/>
      <w:numFmt w:val="bullet"/>
      <w:lvlText w:val="o"/>
      <w:lvlJc w:val="left"/>
      <w:pPr>
        <w:tabs>
          <w:tab w:val="num" w:pos="1443"/>
        </w:tabs>
        <w:ind w:left="1443" w:hanging="360"/>
      </w:pPr>
      <w:rPr>
        <w:rFonts w:ascii="Courier New" w:hAnsi="Courier New" w:cs="Courier New" w:hint="default"/>
      </w:rPr>
    </w:lvl>
    <w:lvl w:ilvl="2" w:tplc="040C0005" w:tentative="1">
      <w:start w:val="1"/>
      <w:numFmt w:val="bullet"/>
      <w:lvlText w:val=""/>
      <w:lvlJc w:val="left"/>
      <w:pPr>
        <w:tabs>
          <w:tab w:val="num" w:pos="2163"/>
        </w:tabs>
        <w:ind w:left="2163" w:hanging="360"/>
      </w:pPr>
      <w:rPr>
        <w:rFonts w:ascii="Wingdings" w:hAnsi="Wingdings" w:hint="default"/>
      </w:rPr>
    </w:lvl>
    <w:lvl w:ilvl="3" w:tplc="040C0001" w:tentative="1">
      <w:start w:val="1"/>
      <w:numFmt w:val="bullet"/>
      <w:lvlText w:val=""/>
      <w:lvlJc w:val="left"/>
      <w:pPr>
        <w:tabs>
          <w:tab w:val="num" w:pos="2883"/>
        </w:tabs>
        <w:ind w:left="2883" w:hanging="360"/>
      </w:pPr>
      <w:rPr>
        <w:rFonts w:ascii="Symbol" w:hAnsi="Symbol" w:hint="default"/>
      </w:rPr>
    </w:lvl>
    <w:lvl w:ilvl="4" w:tplc="040C0003" w:tentative="1">
      <w:start w:val="1"/>
      <w:numFmt w:val="bullet"/>
      <w:lvlText w:val="o"/>
      <w:lvlJc w:val="left"/>
      <w:pPr>
        <w:tabs>
          <w:tab w:val="num" w:pos="3603"/>
        </w:tabs>
        <w:ind w:left="3603" w:hanging="360"/>
      </w:pPr>
      <w:rPr>
        <w:rFonts w:ascii="Courier New" w:hAnsi="Courier New" w:cs="Courier New" w:hint="default"/>
      </w:rPr>
    </w:lvl>
    <w:lvl w:ilvl="5" w:tplc="040C0005" w:tentative="1">
      <w:start w:val="1"/>
      <w:numFmt w:val="bullet"/>
      <w:lvlText w:val=""/>
      <w:lvlJc w:val="left"/>
      <w:pPr>
        <w:tabs>
          <w:tab w:val="num" w:pos="4323"/>
        </w:tabs>
        <w:ind w:left="4323" w:hanging="360"/>
      </w:pPr>
      <w:rPr>
        <w:rFonts w:ascii="Wingdings" w:hAnsi="Wingdings" w:hint="default"/>
      </w:rPr>
    </w:lvl>
    <w:lvl w:ilvl="6" w:tplc="040C0001" w:tentative="1">
      <w:start w:val="1"/>
      <w:numFmt w:val="bullet"/>
      <w:lvlText w:val=""/>
      <w:lvlJc w:val="left"/>
      <w:pPr>
        <w:tabs>
          <w:tab w:val="num" w:pos="5043"/>
        </w:tabs>
        <w:ind w:left="5043" w:hanging="360"/>
      </w:pPr>
      <w:rPr>
        <w:rFonts w:ascii="Symbol" w:hAnsi="Symbol" w:hint="default"/>
      </w:rPr>
    </w:lvl>
    <w:lvl w:ilvl="7" w:tplc="040C0003" w:tentative="1">
      <w:start w:val="1"/>
      <w:numFmt w:val="bullet"/>
      <w:lvlText w:val="o"/>
      <w:lvlJc w:val="left"/>
      <w:pPr>
        <w:tabs>
          <w:tab w:val="num" w:pos="5763"/>
        </w:tabs>
        <w:ind w:left="5763" w:hanging="360"/>
      </w:pPr>
      <w:rPr>
        <w:rFonts w:ascii="Courier New" w:hAnsi="Courier New" w:cs="Courier New" w:hint="default"/>
      </w:rPr>
    </w:lvl>
    <w:lvl w:ilvl="8" w:tplc="040C0005" w:tentative="1">
      <w:start w:val="1"/>
      <w:numFmt w:val="bullet"/>
      <w:lvlText w:val=""/>
      <w:lvlJc w:val="left"/>
      <w:pPr>
        <w:tabs>
          <w:tab w:val="num" w:pos="6483"/>
        </w:tabs>
        <w:ind w:left="6483" w:hanging="360"/>
      </w:pPr>
      <w:rPr>
        <w:rFonts w:ascii="Wingdings" w:hAnsi="Wingdings" w:hint="default"/>
      </w:rPr>
    </w:lvl>
  </w:abstractNum>
  <w:abstractNum w:abstractNumId="112" w15:restartNumberingAfterBreak="0">
    <w:nsid w:val="58EF02F6"/>
    <w:multiLevelType w:val="hybridMultilevel"/>
    <w:tmpl w:val="B1AED2CC"/>
    <w:lvl w:ilvl="0" w:tplc="545CB7FC">
      <w:start w:val="1"/>
      <w:numFmt w:val="bullet"/>
      <w:lvlText w:val=""/>
      <w:lvlJc w:val="left"/>
      <w:pPr>
        <w:tabs>
          <w:tab w:val="num" w:pos="720"/>
        </w:tabs>
        <w:ind w:left="720" w:hanging="360"/>
      </w:pPr>
      <w:rPr>
        <w:rFonts w:ascii="Wingdings 2" w:hAnsi="Wingdings 2" w:hint="default"/>
      </w:rPr>
    </w:lvl>
    <w:lvl w:ilvl="1" w:tplc="D8C80A9E">
      <w:start w:val="1"/>
      <w:numFmt w:val="bullet"/>
      <w:lvlText w:val=""/>
      <w:lvlJc w:val="left"/>
      <w:pPr>
        <w:tabs>
          <w:tab w:val="num" w:pos="1440"/>
        </w:tabs>
        <w:ind w:left="1440" w:hanging="360"/>
      </w:pPr>
      <w:rPr>
        <w:rFonts w:ascii="Wingdings 2" w:hAnsi="Wingdings 2" w:hint="default"/>
      </w:rPr>
    </w:lvl>
    <w:lvl w:ilvl="2" w:tplc="CB447BD8" w:tentative="1">
      <w:start w:val="1"/>
      <w:numFmt w:val="bullet"/>
      <w:lvlText w:val=""/>
      <w:lvlJc w:val="left"/>
      <w:pPr>
        <w:tabs>
          <w:tab w:val="num" w:pos="2160"/>
        </w:tabs>
        <w:ind w:left="2160" w:hanging="360"/>
      </w:pPr>
      <w:rPr>
        <w:rFonts w:ascii="Wingdings 2" w:hAnsi="Wingdings 2" w:hint="default"/>
      </w:rPr>
    </w:lvl>
    <w:lvl w:ilvl="3" w:tplc="801C2102" w:tentative="1">
      <w:start w:val="1"/>
      <w:numFmt w:val="bullet"/>
      <w:lvlText w:val=""/>
      <w:lvlJc w:val="left"/>
      <w:pPr>
        <w:tabs>
          <w:tab w:val="num" w:pos="2880"/>
        </w:tabs>
        <w:ind w:left="2880" w:hanging="360"/>
      </w:pPr>
      <w:rPr>
        <w:rFonts w:ascii="Wingdings 2" w:hAnsi="Wingdings 2" w:hint="default"/>
      </w:rPr>
    </w:lvl>
    <w:lvl w:ilvl="4" w:tplc="ADC4BD0C" w:tentative="1">
      <w:start w:val="1"/>
      <w:numFmt w:val="bullet"/>
      <w:lvlText w:val=""/>
      <w:lvlJc w:val="left"/>
      <w:pPr>
        <w:tabs>
          <w:tab w:val="num" w:pos="3600"/>
        </w:tabs>
        <w:ind w:left="3600" w:hanging="360"/>
      </w:pPr>
      <w:rPr>
        <w:rFonts w:ascii="Wingdings 2" w:hAnsi="Wingdings 2" w:hint="default"/>
      </w:rPr>
    </w:lvl>
    <w:lvl w:ilvl="5" w:tplc="E42627C0" w:tentative="1">
      <w:start w:val="1"/>
      <w:numFmt w:val="bullet"/>
      <w:lvlText w:val=""/>
      <w:lvlJc w:val="left"/>
      <w:pPr>
        <w:tabs>
          <w:tab w:val="num" w:pos="4320"/>
        </w:tabs>
        <w:ind w:left="4320" w:hanging="360"/>
      </w:pPr>
      <w:rPr>
        <w:rFonts w:ascii="Wingdings 2" w:hAnsi="Wingdings 2" w:hint="default"/>
      </w:rPr>
    </w:lvl>
    <w:lvl w:ilvl="6" w:tplc="693207CE" w:tentative="1">
      <w:start w:val="1"/>
      <w:numFmt w:val="bullet"/>
      <w:lvlText w:val=""/>
      <w:lvlJc w:val="left"/>
      <w:pPr>
        <w:tabs>
          <w:tab w:val="num" w:pos="5040"/>
        </w:tabs>
        <w:ind w:left="5040" w:hanging="360"/>
      </w:pPr>
      <w:rPr>
        <w:rFonts w:ascii="Wingdings 2" w:hAnsi="Wingdings 2" w:hint="default"/>
      </w:rPr>
    </w:lvl>
    <w:lvl w:ilvl="7" w:tplc="BFAC9AA4" w:tentative="1">
      <w:start w:val="1"/>
      <w:numFmt w:val="bullet"/>
      <w:lvlText w:val=""/>
      <w:lvlJc w:val="left"/>
      <w:pPr>
        <w:tabs>
          <w:tab w:val="num" w:pos="5760"/>
        </w:tabs>
        <w:ind w:left="5760" w:hanging="360"/>
      </w:pPr>
      <w:rPr>
        <w:rFonts w:ascii="Wingdings 2" w:hAnsi="Wingdings 2" w:hint="default"/>
      </w:rPr>
    </w:lvl>
    <w:lvl w:ilvl="8" w:tplc="0B923438" w:tentative="1">
      <w:start w:val="1"/>
      <w:numFmt w:val="bullet"/>
      <w:lvlText w:val=""/>
      <w:lvlJc w:val="left"/>
      <w:pPr>
        <w:tabs>
          <w:tab w:val="num" w:pos="6480"/>
        </w:tabs>
        <w:ind w:left="6480" w:hanging="360"/>
      </w:pPr>
      <w:rPr>
        <w:rFonts w:ascii="Wingdings 2" w:hAnsi="Wingdings 2" w:hint="default"/>
      </w:rPr>
    </w:lvl>
  </w:abstractNum>
  <w:abstractNum w:abstractNumId="113" w15:restartNumberingAfterBreak="0">
    <w:nsid w:val="59820903"/>
    <w:multiLevelType w:val="hybridMultilevel"/>
    <w:tmpl w:val="F214A6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956C7A"/>
    <w:multiLevelType w:val="hybridMultilevel"/>
    <w:tmpl w:val="AFC6AAE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E147ED2"/>
    <w:multiLevelType w:val="hybridMultilevel"/>
    <w:tmpl w:val="BD4A3B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E855370"/>
    <w:multiLevelType w:val="hybridMultilevel"/>
    <w:tmpl w:val="63447C46"/>
    <w:lvl w:ilvl="0" w:tplc="F49EE0A0">
      <w:start w:val="1"/>
      <w:numFmt w:val="bullet"/>
      <w:lvlText w:val=""/>
      <w:lvlJc w:val="left"/>
      <w:pPr>
        <w:tabs>
          <w:tab w:val="num" w:pos="720"/>
        </w:tabs>
        <w:ind w:left="720" w:hanging="360"/>
      </w:pPr>
      <w:rPr>
        <w:rFonts w:ascii="Wingdings" w:hAnsi="Wingdings" w:hint="default"/>
      </w:rPr>
    </w:lvl>
    <w:lvl w:ilvl="1" w:tplc="142894AA" w:tentative="1">
      <w:start w:val="1"/>
      <w:numFmt w:val="bullet"/>
      <w:lvlText w:val=""/>
      <w:lvlJc w:val="left"/>
      <w:pPr>
        <w:tabs>
          <w:tab w:val="num" w:pos="1440"/>
        </w:tabs>
        <w:ind w:left="1440" w:hanging="360"/>
      </w:pPr>
      <w:rPr>
        <w:rFonts w:ascii="Wingdings" w:hAnsi="Wingdings" w:hint="default"/>
      </w:rPr>
    </w:lvl>
    <w:lvl w:ilvl="2" w:tplc="C8365CD4" w:tentative="1">
      <w:start w:val="1"/>
      <w:numFmt w:val="bullet"/>
      <w:lvlText w:val=""/>
      <w:lvlJc w:val="left"/>
      <w:pPr>
        <w:tabs>
          <w:tab w:val="num" w:pos="2160"/>
        </w:tabs>
        <w:ind w:left="2160" w:hanging="360"/>
      </w:pPr>
      <w:rPr>
        <w:rFonts w:ascii="Wingdings" w:hAnsi="Wingdings" w:hint="default"/>
      </w:rPr>
    </w:lvl>
    <w:lvl w:ilvl="3" w:tplc="A816C0F4" w:tentative="1">
      <w:start w:val="1"/>
      <w:numFmt w:val="bullet"/>
      <w:lvlText w:val=""/>
      <w:lvlJc w:val="left"/>
      <w:pPr>
        <w:tabs>
          <w:tab w:val="num" w:pos="2880"/>
        </w:tabs>
        <w:ind w:left="2880" w:hanging="360"/>
      </w:pPr>
      <w:rPr>
        <w:rFonts w:ascii="Wingdings" w:hAnsi="Wingdings" w:hint="default"/>
      </w:rPr>
    </w:lvl>
    <w:lvl w:ilvl="4" w:tplc="C9FEA46E" w:tentative="1">
      <w:start w:val="1"/>
      <w:numFmt w:val="bullet"/>
      <w:lvlText w:val=""/>
      <w:lvlJc w:val="left"/>
      <w:pPr>
        <w:tabs>
          <w:tab w:val="num" w:pos="3600"/>
        </w:tabs>
        <w:ind w:left="3600" w:hanging="360"/>
      </w:pPr>
      <w:rPr>
        <w:rFonts w:ascii="Wingdings" w:hAnsi="Wingdings" w:hint="default"/>
      </w:rPr>
    </w:lvl>
    <w:lvl w:ilvl="5" w:tplc="888E454E" w:tentative="1">
      <w:start w:val="1"/>
      <w:numFmt w:val="bullet"/>
      <w:lvlText w:val=""/>
      <w:lvlJc w:val="left"/>
      <w:pPr>
        <w:tabs>
          <w:tab w:val="num" w:pos="4320"/>
        </w:tabs>
        <w:ind w:left="4320" w:hanging="360"/>
      </w:pPr>
      <w:rPr>
        <w:rFonts w:ascii="Wingdings" w:hAnsi="Wingdings" w:hint="default"/>
      </w:rPr>
    </w:lvl>
    <w:lvl w:ilvl="6" w:tplc="3BC45A26" w:tentative="1">
      <w:start w:val="1"/>
      <w:numFmt w:val="bullet"/>
      <w:lvlText w:val=""/>
      <w:lvlJc w:val="left"/>
      <w:pPr>
        <w:tabs>
          <w:tab w:val="num" w:pos="5040"/>
        </w:tabs>
        <w:ind w:left="5040" w:hanging="360"/>
      </w:pPr>
      <w:rPr>
        <w:rFonts w:ascii="Wingdings" w:hAnsi="Wingdings" w:hint="default"/>
      </w:rPr>
    </w:lvl>
    <w:lvl w:ilvl="7" w:tplc="F9EC7954" w:tentative="1">
      <w:start w:val="1"/>
      <w:numFmt w:val="bullet"/>
      <w:lvlText w:val=""/>
      <w:lvlJc w:val="left"/>
      <w:pPr>
        <w:tabs>
          <w:tab w:val="num" w:pos="5760"/>
        </w:tabs>
        <w:ind w:left="5760" w:hanging="360"/>
      </w:pPr>
      <w:rPr>
        <w:rFonts w:ascii="Wingdings" w:hAnsi="Wingdings" w:hint="default"/>
      </w:rPr>
    </w:lvl>
    <w:lvl w:ilvl="8" w:tplc="E60A9ECE"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2D978C8"/>
    <w:multiLevelType w:val="hybridMultilevel"/>
    <w:tmpl w:val="D8248E9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5972585"/>
    <w:multiLevelType w:val="hybridMultilevel"/>
    <w:tmpl w:val="933E4FD4"/>
    <w:lvl w:ilvl="0" w:tplc="E0640E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65BE6CDC"/>
    <w:multiLevelType w:val="hybridMultilevel"/>
    <w:tmpl w:val="160C0BE0"/>
    <w:lvl w:ilvl="0" w:tplc="00727BD0">
      <w:start w:val="1"/>
      <w:numFmt w:val="bullet"/>
      <w:lvlText w:val=""/>
      <w:lvlJc w:val="left"/>
      <w:pPr>
        <w:tabs>
          <w:tab w:val="num" w:pos="720"/>
        </w:tabs>
        <w:ind w:left="720" w:hanging="360"/>
      </w:pPr>
      <w:rPr>
        <w:rFonts w:ascii="Wingdings" w:hAnsi="Wingdings" w:hint="default"/>
      </w:rPr>
    </w:lvl>
    <w:lvl w:ilvl="1" w:tplc="71CADAF0" w:tentative="1">
      <w:start w:val="1"/>
      <w:numFmt w:val="bullet"/>
      <w:lvlText w:val=""/>
      <w:lvlJc w:val="left"/>
      <w:pPr>
        <w:tabs>
          <w:tab w:val="num" w:pos="1440"/>
        </w:tabs>
        <w:ind w:left="1440" w:hanging="360"/>
      </w:pPr>
      <w:rPr>
        <w:rFonts w:ascii="Wingdings" w:hAnsi="Wingdings" w:hint="default"/>
      </w:rPr>
    </w:lvl>
    <w:lvl w:ilvl="2" w:tplc="DB363684">
      <w:start w:val="1"/>
      <w:numFmt w:val="bullet"/>
      <w:lvlText w:val=""/>
      <w:lvlJc w:val="left"/>
      <w:pPr>
        <w:tabs>
          <w:tab w:val="num" w:pos="2160"/>
        </w:tabs>
        <w:ind w:left="2160" w:hanging="360"/>
      </w:pPr>
      <w:rPr>
        <w:rFonts w:ascii="Wingdings" w:hAnsi="Wingdings" w:hint="default"/>
      </w:rPr>
    </w:lvl>
    <w:lvl w:ilvl="3" w:tplc="E7485156" w:tentative="1">
      <w:start w:val="1"/>
      <w:numFmt w:val="bullet"/>
      <w:lvlText w:val=""/>
      <w:lvlJc w:val="left"/>
      <w:pPr>
        <w:tabs>
          <w:tab w:val="num" w:pos="2880"/>
        </w:tabs>
        <w:ind w:left="2880" w:hanging="360"/>
      </w:pPr>
      <w:rPr>
        <w:rFonts w:ascii="Wingdings" w:hAnsi="Wingdings" w:hint="default"/>
      </w:rPr>
    </w:lvl>
    <w:lvl w:ilvl="4" w:tplc="E2FA50FE" w:tentative="1">
      <w:start w:val="1"/>
      <w:numFmt w:val="bullet"/>
      <w:lvlText w:val=""/>
      <w:lvlJc w:val="left"/>
      <w:pPr>
        <w:tabs>
          <w:tab w:val="num" w:pos="3600"/>
        </w:tabs>
        <w:ind w:left="3600" w:hanging="360"/>
      </w:pPr>
      <w:rPr>
        <w:rFonts w:ascii="Wingdings" w:hAnsi="Wingdings" w:hint="default"/>
      </w:rPr>
    </w:lvl>
    <w:lvl w:ilvl="5" w:tplc="738E9686" w:tentative="1">
      <w:start w:val="1"/>
      <w:numFmt w:val="bullet"/>
      <w:lvlText w:val=""/>
      <w:lvlJc w:val="left"/>
      <w:pPr>
        <w:tabs>
          <w:tab w:val="num" w:pos="4320"/>
        </w:tabs>
        <w:ind w:left="4320" w:hanging="360"/>
      </w:pPr>
      <w:rPr>
        <w:rFonts w:ascii="Wingdings" w:hAnsi="Wingdings" w:hint="default"/>
      </w:rPr>
    </w:lvl>
    <w:lvl w:ilvl="6" w:tplc="FCE4744C" w:tentative="1">
      <w:start w:val="1"/>
      <w:numFmt w:val="bullet"/>
      <w:lvlText w:val=""/>
      <w:lvlJc w:val="left"/>
      <w:pPr>
        <w:tabs>
          <w:tab w:val="num" w:pos="5040"/>
        </w:tabs>
        <w:ind w:left="5040" w:hanging="360"/>
      </w:pPr>
      <w:rPr>
        <w:rFonts w:ascii="Wingdings" w:hAnsi="Wingdings" w:hint="default"/>
      </w:rPr>
    </w:lvl>
    <w:lvl w:ilvl="7" w:tplc="2B54A166" w:tentative="1">
      <w:start w:val="1"/>
      <w:numFmt w:val="bullet"/>
      <w:lvlText w:val=""/>
      <w:lvlJc w:val="left"/>
      <w:pPr>
        <w:tabs>
          <w:tab w:val="num" w:pos="5760"/>
        </w:tabs>
        <w:ind w:left="5760" w:hanging="360"/>
      </w:pPr>
      <w:rPr>
        <w:rFonts w:ascii="Wingdings" w:hAnsi="Wingdings" w:hint="default"/>
      </w:rPr>
    </w:lvl>
    <w:lvl w:ilvl="8" w:tplc="46023018"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9967AA7"/>
    <w:multiLevelType w:val="hybridMultilevel"/>
    <w:tmpl w:val="6EFAD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6B126F42"/>
    <w:multiLevelType w:val="hybridMultilevel"/>
    <w:tmpl w:val="FEBC2F82"/>
    <w:lvl w:ilvl="0" w:tplc="04090001">
      <w:start w:val="15"/>
      <w:numFmt w:val="bullet"/>
      <w:lvlText w:val="-"/>
      <w:lvlJc w:val="left"/>
      <w:pPr>
        <w:tabs>
          <w:tab w:val="num" w:pos="1080"/>
        </w:tabs>
        <w:ind w:left="1080" w:hanging="360"/>
      </w:pPr>
      <w:rPr>
        <w:rFonts w:ascii="Arial Narrow" w:eastAsia="Times New Roman" w:hAnsi="Arial Narrow"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6C30491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6C7F16AC"/>
    <w:multiLevelType w:val="hybridMultilevel"/>
    <w:tmpl w:val="E96A44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4407F9D"/>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5" w15:restartNumberingAfterBreak="0">
    <w:nsid w:val="76A8595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6" w15:restartNumberingAfterBreak="0">
    <w:nsid w:val="77110EA8"/>
    <w:multiLevelType w:val="hybridMultilevel"/>
    <w:tmpl w:val="5AF046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97607B0"/>
    <w:multiLevelType w:val="hybridMultilevel"/>
    <w:tmpl w:val="669A907A"/>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155B71"/>
    <w:multiLevelType w:val="hybridMultilevel"/>
    <w:tmpl w:val="891A43C8"/>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29" w15:restartNumberingAfterBreak="0">
    <w:nsid w:val="7A3504F1"/>
    <w:multiLevelType w:val="hybridMultilevel"/>
    <w:tmpl w:val="79BA5C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CEC2B3B"/>
    <w:multiLevelType w:val="hybridMultilevel"/>
    <w:tmpl w:val="6308B0A8"/>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31" w15:restartNumberingAfterBreak="0">
    <w:nsid w:val="7ED509C4"/>
    <w:multiLevelType w:val="hybridMultilevel"/>
    <w:tmpl w:val="91BAF0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2"/>
  </w:num>
  <w:num w:numId="67">
    <w:abstractNumId w:val="12"/>
  </w:num>
  <w:num w:numId="68">
    <w:abstractNumId w:val="88"/>
  </w:num>
  <w:num w:numId="69">
    <w:abstractNumId w:val="62"/>
  </w:num>
  <w:num w:numId="70">
    <w:abstractNumId w:val="62"/>
  </w:num>
  <w:num w:numId="71">
    <w:abstractNumId w:val="2"/>
  </w:num>
  <w:num w:numId="72">
    <w:abstractNumId w:val="74"/>
  </w:num>
  <w:num w:numId="73">
    <w:abstractNumId w:val="97"/>
  </w:num>
  <w:num w:numId="74">
    <w:abstractNumId w:val="12"/>
  </w:num>
  <w:num w:numId="75">
    <w:abstractNumId w:val="12"/>
  </w:num>
  <w:num w:numId="76">
    <w:abstractNumId w:val="88"/>
  </w:num>
  <w:num w:numId="77">
    <w:abstractNumId w:val="88"/>
  </w:num>
  <w:num w:numId="78">
    <w:abstractNumId w:val="3"/>
  </w:num>
  <w:num w:numId="79">
    <w:abstractNumId w:val="3"/>
  </w:num>
  <w:num w:numId="80">
    <w:abstractNumId w:val="12"/>
  </w:num>
  <w:num w:numId="81">
    <w:abstractNumId w:val="88"/>
  </w:num>
  <w:num w:numId="82">
    <w:abstractNumId w:val="30"/>
  </w:num>
  <w:num w:numId="83">
    <w:abstractNumId w:val="30"/>
  </w:num>
  <w:num w:numId="84">
    <w:abstractNumId w:val="88"/>
  </w:num>
  <w:num w:numId="85">
    <w:abstractNumId w:val="30"/>
  </w:num>
  <w:num w:numId="86">
    <w:abstractNumId w:val="30"/>
  </w:num>
  <w:num w:numId="87">
    <w:abstractNumId w:val="88"/>
  </w:num>
  <w:num w:numId="88">
    <w:abstractNumId w:val="88"/>
  </w:num>
  <w:num w:numId="89">
    <w:abstractNumId w:val="3"/>
  </w:num>
  <w:num w:numId="90">
    <w:abstractNumId w:val="75"/>
  </w:num>
  <w:num w:numId="91">
    <w:abstractNumId w:val="75"/>
  </w:num>
  <w:num w:numId="92">
    <w:abstractNumId w:val="75"/>
  </w:num>
  <w:num w:numId="93">
    <w:abstractNumId w:val="0"/>
  </w:num>
  <w:num w:numId="94">
    <w:abstractNumId w:val="64"/>
  </w:num>
  <w:num w:numId="95">
    <w:abstractNumId w:val="0"/>
  </w:num>
  <w:num w:numId="96">
    <w:abstractNumId w:val="0"/>
  </w:num>
  <w:num w:numId="97">
    <w:abstractNumId w:val="30"/>
  </w:num>
  <w:num w:numId="98">
    <w:abstractNumId w:val="30"/>
  </w:num>
  <w:num w:numId="99">
    <w:abstractNumId w:val="83"/>
  </w:num>
  <w:num w:numId="100">
    <w:abstractNumId w:val="126"/>
  </w:num>
  <w:num w:numId="101">
    <w:abstractNumId w:val="80"/>
  </w:num>
  <w:num w:numId="102">
    <w:abstractNumId w:val="95"/>
  </w:num>
  <w:num w:numId="103">
    <w:abstractNumId w:val="89"/>
  </w:num>
  <w:num w:numId="104">
    <w:abstractNumId w:val="128"/>
  </w:num>
  <w:num w:numId="105">
    <w:abstractNumId w:val="112"/>
  </w:num>
  <w:num w:numId="106">
    <w:abstractNumId w:val="120"/>
  </w:num>
  <w:num w:numId="107">
    <w:abstractNumId w:val="66"/>
  </w:num>
  <w:num w:numId="108">
    <w:abstractNumId w:val="116"/>
  </w:num>
  <w:num w:numId="109">
    <w:abstractNumId w:val="73"/>
  </w:num>
  <w:num w:numId="110">
    <w:abstractNumId w:val="119"/>
  </w:num>
  <w:num w:numId="111">
    <w:abstractNumId w:val="1"/>
  </w:num>
  <w:num w:numId="112">
    <w:abstractNumId w:val="74"/>
  </w:num>
  <w:num w:numId="113">
    <w:abstractNumId w:val="74"/>
  </w:num>
  <w:num w:numId="114">
    <w:abstractNumId w:val="79"/>
  </w:num>
  <w:num w:numId="115">
    <w:abstractNumId w:val="30"/>
  </w:num>
  <w:num w:numId="116">
    <w:abstractNumId w:val="30"/>
  </w:num>
  <w:num w:numId="117">
    <w:abstractNumId w:val="30"/>
  </w:num>
  <w:num w:numId="118">
    <w:abstractNumId w:val="30"/>
  </w:num>
  <w:num w:numId="1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0"/>
  </w:num>
  <w:num w:numId="121">
    <w:abstractNumId w:val="74"/>
  </w:num>
  <w:num w:numId="122">
    <w:abstractNumId w:val="82"/>
  </w:num>
  <w:num w:numId="123">
    <w:abstractNumId w:val="30"/>
  </w:num>
  <w:num w:numId="124">
    <w:abstractNumId w:val="74"/>
  </w:num>
  <w:num w:numId="125">
    <w:abstractNumId w:val="74"/>
  </w:num>
  <w:num w:numId="126">
    <w:abstractNumId w:val="74"/>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num>
  <w:num w:numId="129">
    <w:abstractNumId w:val="74"/>
  </w:num>
  <w:num w:numId="130">
    <w:abstractNumId w:val="74"/>
  </w:num>
  <w:num w:numId="131">
    <w:abstractNumId w:val="74"/>
  </w:num>
  <w:num w:numId="132">
    <w:abstractNumId w:val="74"/>
  </w:num>
  <w:num w:numId="133">
    <w:abstractNumId w:val="74"/>
  </w:num>
  <w:num w:numId="134">
    <w:abstractNumId w:val="74"/>
  </w:num>
  <w:num w:numId="135">
    <w:abstractNumId w:val="74"/>
  </w:num>
  <w:num w:numId="136">
    <w:abstractNumId w:val="74"/>
  </w:num>
  <w:num w:numId="137">
    <w:abstractNumId w:val="74"/>
  </w:num>
  <w:num w:numId="138">
    <w:abstractNumId w:val="67"/>
  </w:num>
  <w:num w:numId="139">
    <w:abstractNumId w:val="91"/>
  </w:num>
  <w:num w:numId="140">
    <w:abstractNumId w:val="74"/>
  </w:num>
  <w:num w:numId="141">
    <w:abstractNumId w:val="85"/>
  </w:num>
  <w:num w:numId="142">
    <w:abstractNumId w:val="86"/>
  </w:num>
  <w:num w:numId="1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8"/>
  </w:num>
  <w:num w:numId="145">
    <w:abstractNumId w:val="74"/>
  </w:num>
  <w:num w:numId="146">
    <w:abstractNumId w:val="74"/>
  </w:num>
  <w:num w:numId="147">
    <w:abstractNumId w:val="74"/>
  </w:num>
  <w:num w:numId="148">
    <w:abstractNumId w:val="74"/>
  </w:num>
  <w:num w:numId="149">
    <w:abstractNumId w:val="74"/>
  </w:num>
  <w:num w:numId="150">
    <w:abstractNumId w:val="74"/>
  </w:num>
  <w:num w:numId="151">
    <w:abstractNumId w:val="117"/>
  </w:num>
  <w:num w:numId="152">
    <w:abstractNumId w:val="74"/>
  </w:num>
  <w:num w:numId="153">
    <w:abstractNumId w:val="81"/>
  </w:num>
  <w:num w:numId="154">
    <w:abstractNumId w:val="74"/>
  </w:num>
  <w:num w:numId="155">
    <w:abstractNumId w:val="74"/>
  </w:num>
  <w:num w:numId="156">
    <w:abstractNumId w:val="74"/>
  </w:num>
  <w:num w:numId="157">
    <w:abstractNumId w:val="74"/>
  </w:num>
  <w:num w:numId="158">
    <w:abstractNumId w:val="74"/>
  </w:num>
  <w:num w:numId="159">
    <w:abstractNumId w:val="74"/>
  </w:num>
  <w:num w:numId="160">
    <w:abstractNumId w:val="30"/>
  </w:num>
  <w:num w:numId="161">
    <w:abstractNumId w:val="126"/>
  </w:num>
  <w:num w:numId="162">
    <w:abstractNumId w:val="83"/>
  </w:num>
  <w:num w:numId="163">
    <w:abstractNumId w:val="77"/>
  </w:num>
  <w:num w:numId="164">
    <w:abstractNumId w:val="131"/>
  </w:num>
  <w:num w:numId="165">
    <w:abstractNumId w:val="127"/>
  </w:num>
  <w:num w:numId="166">
    <w:abstractNumId w:val="65"/>
  </w:num>
  <w:num w:numId="167">
    <w:abstractNumId w:val="129"/>
  </w:num>
  <w:num w:numId="168">
    <w:abstractNumId w:val="78"/>
  </w:num>
  <w:num w:numId="169">
    <w:abstractNumId w:val="76"/>
  </w:num>
  <w:num w:numId="170">
    <w:abstractNumId w:val="113"/>
  </w:num>
  <w:num w:numId="171">
    <w:abstractNumId w:val="111"/>
  </w:num>
  <w:num w:numId="172">
    <w:abstractNumId w:val="118"/>
  </w:num>
  <w:num w:numId="173">
    <w:abstractNumId w:val="74"/>
  </w:num>
  <w:num w:numId="174">
    <w:abstractNumId w:val="74"/>
  </w:num>
  <w:num w:numId="175">
    <w:abstractNumId w:val="87"/>
  </w:num>
  <w:num w:numId="176">
    <w:abstractNumId w:val="30"/>
  </w:num>
  <w:num w:numId="177">
    <w:abstractNumId w:val="74"/>
  </w:num>
  <w:num w:numId="178">
    <w:abstractNumId w:val="74"/>
  </w:num>
  <w:num w:numId="179">
    <w:abstractNumId w:val="74"/>
  </w:num>
  <w:num w:numId="180">
    <w:abstractNumId w:val="74"/>
  </w:num>
  <w:num w:numId="181">
    <w:abstractNumId w:val="102"/>
  </w:num>
  <w:num w:numId="182">
    <w:abstractNumId w:val="96"/>
  </w:num>
  <w:num w:numId="183">
    <w:abstractNumId w:val="90"/>
  </w:num>
  <w:num w:numId="184">
    <w:abstractNumId w:val="105"/>
  </w:num>
  <w:num w:numId="185">
    <w:abstractNumId w:val="130"/>
  </w:num>
  <w:num w:numId="186">
    <w:abstractNumId w:val="101"/>
  </w:num>
  <w:num w:numId="187">
    <w:abstractNumId w:val="100"/>
  </w:num>
  <w:num w:numId="188">
    <w:abstractNumId w:val="9"/>
  </w:num>
  <w:num w:numId="1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74"/>
  </w:num>
  <w:num w:numId="191">
    <w:abstractNumId w:val="74"/>
  </w:num>
  <w:num w:numId="192">
    <w:abstractNumId w:val="74"/>
  </w:num>
  <w:num w:numId="193">
    <w:abstractNumId w:val="114"/>
  </w:num>
  <w:num w:numId="194">
    <w:abstractNumId w:val="107"/>
  </w:num>
  <w:num w:numId="195">
    <w:abstractNumId w:val="115"/>
  </w:num>
  <w:num w:numId="1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3"/>
  </w:num>
  <w:num w:numId="198">
    <w:abstractNumId w:val="104"/>
  </w:num>
  <w:num w:numId="199">
    <w:abstractNumId w:val="74"/>
  </w:num>
  <w:num w:numId="2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2"/>
  </w:num>
  <w:num w:numId="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1"/>
  </w:num>
  <w:num w:numId="204">
    <w:abstractNumId w:val="92"/>
  </w:num>
  <w:num w:numId="205">
    <w:abstractNumId w:val="109"/>
  </w:num>
  <w:num w:numId="206">
    <w:abstractNumId w:val="74"/>
  </w:num>
  <w:num w:numId="207">
    <w:abstractNumId w:val="74"/>
  </w:num>
  <w:num w:numId="208">
    <w:abstractNumId w:val="68"/>
  </w:num>
  <w:num w:numId="209">
    <w:abstractNumId w:val="69"/>
  </w:num>
  <w:num w:numId="210">
    <w:abstractNumId w:val="106"/>
  </w:num>
  <w:num w:numId="211">
    <w:abstractNumId w:val="94"/>
  </w:num>
  <w:num w:numId="212">
    <w:abstractNumId w:val="124"/>
  </w:num>
  <w:num w:numId="213">
    <w:abstractNumId w:val="63"/>
  </w:num>
  <w:num w:numId="214">
    <w:abstractNumId w:val="125"/>
  </w:num>
  <w:num w:numId="215">
    <w:abstractNumId w:val="123"/>
  </w:num>
  <w:num w:numId="216">
    <w:abstractNumId w:val="70"/>
  </w:num>
  <w:num w:numId="217">
    <w:abstractNumId w:val="98"/>
  </w:num>
  <w:num w:numId="218">
    <w:abstractNumId w:val="84"/>
  </w:num>
  <w:num w:numId="219">
    <w:abstractNumId w:val="103"/>
  </w:num>
  <w:num w:numId="2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0"/>
  </w:num>
  <w:num w:numId="222">
    <w:abstractNumId w:val="99"/>
  </w:num>
  <w:num w:numId="223">
    <w:abstractNumId w:val="7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F90A6A-0A72-40CF-9B94-09FABC8F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60" w:lineRule="atLeast"/>
    </w:pPr>
    <w:rPr>
      <w:rFonts w:cs="CG Times (W1)"/>
      <w:sz w:val="24"/>
      <w:lang w:eastAsia="zh-CN"/>
    </w:rPr>
  </w:style>
  <w:style w:type="paragraph" w:styleId="Titre1">
    <w:name w:val="heading 1"/>
    <w:aliases w:val="Titre 1__,chapitre,Titre 11,t1.T1.Titre 1,t1,Contrat 1,t1.T1,Ct.,Heading1_Titre1,H11,H12,H111,Titre 1 SQ,Titre 1 jbl,SousTitre,Aston T1,DO NOT USE_h1,h1,l1,level 1,level1,1,1titre,1titre1,1titre2,1titre3,1titre4,1titre5,1titre6,BOM,Titre 1I,H,t"/>
    <w:basedOn w:val="Normal"/>
    <w:next w:val="Corpsdetexte"/>
    <w:link w:val="Titre1Car1"/>
    <w:qFormat/>
    <w:pPr>
      <w:keepNext/>
      <w:keepLines/>
      <w:pageBreakBefore/>
      <w:numPr>
        <w:numId w:val="72"/>
      </w:numPr>
      <w:tabs>
        <w:tab w:val="left" w:pos="567"/>
      </w:tabs>
      <w:spacing w:before="260"/>
      <w:outlineLvl w:val="0"/>
    </w:pPr>
    <w:rPr>
      <w:rFonts w:cs="Times New Roman"/>
      <w:b/>
      <w:sz w:val="40"/>
    </w:rPr>
  </w:style>
  <w:style w:type="paragraph" w:styleId="Titre2">
    <w:name w:val="heading 2"/>
    <w:aliases w:val="Titre 2__,paragraphe,Contrat 2,Ctt,H2,chapitre 1.1,PFD2,Titre 2 SQ,Titre 21,t2.T2,TITRE MARG...,h2,Titre 2 - RAO,l2,I2,heading 2,Heading2_Titre2,H21,H22,H211,t2,T2,Titre 2 jbl,InterTitre,DO NOT USE_h2,chn,Chapter Number/Appendix Letter,Titre2"/>
    <w:basedOn w:val="Titre1"/>
    <w:next w:val="Normal"/>
    <w:link w:val="Titre2Car1"/>
    <w:autoRedefine/>
    <w:qFormat/>
    <w:pPr>
      <w:keepLines w:val="0"/>
      <w:pageBreakBefore w:val="0"/>
      <w:numPr>
        <w:ilvl w:val="1"/>
      </w:numPr>
      <w:pBdr>
        <w:bottom w:val="single" w:sz="12" w:space="1" w:color="365F91"/>
      </w:pBdr>
      <w:tabs>
        <w:tab w:val="clear" w:pos="567"/>
      </w:tabs>
      <w:suppressAutoHyphens w:val="0"/>
      <w:spacing w:before="360" w:after="240" w:line="240" w:lineRule="auto"/>
      <w:outlineLvl w:val="1"/>
    </w:pPr>
    <w:rPr>
      <w:sz w:val="32"/>
    </w:rPr>
  </w:style>
  <w:style w:type="paragraph" w:styleId="Titre3">
    <w:name w:val="heading 3"/>
    <w:basedOn w:val="Titre2"/>
    <w:next w:val="Normal"/>
    <w:link w:val="Titre3Car1"/>
    <w:pPr>
      <w:numPr>
        <w:ilvl w:val="2"/>
      </w:numPr>
      <w:tabs>
        <w:tab w:val="left" w:pos="1134"/>
      </w:tabs>
      <w:spacing w:before="240"/>
      <w:ind w:hanging="425"/>
      <w:outlineLvl w:val="2"/>
    </w:pPr>
    <w:rPr>
      <w:sz w:val="28"/>
    </w:rPr>
  </w:style>
  <w:style w:type="paragraph" w:styleId="Titre4">
    <w:name w:val="heading 4"/>
    <w:basedOn w:val="Titre30"/>
    <w:next w:val="Normal"/>
    <w:qFormat/>
    <w:pPr>
      <w:numPr>
        <w:ilvl w:val="3"/>
      </w:numPr>
      <w:tabs>
        <w:tab w:val="clear" w:pos="1134"/>
        <w:tab w:val="clear" w:pos="4819"/>
      </w:tabs>
      <w:ind w:left="850"/>
      <w:outlineLvl w:val="3"/>
    </w:pPr>
    <w:rPr>
      <w:b w:val="0"/>
      <w:i/>
      <w:sz w:val="24"/>
    </w:rPr>
  </w:style>
  <w:style w:type="paragraph" w:styleId="Titre5">
    <w:name w:val="heading 5"/>
    <w:aliases w:val="Titre 5CCTP,H5,SAG Titre 5,Titre 5 minuscule,Headin   5,5 not used in DICO,not used 5,Niveau 5,Niveau5,Roman list,h5,Contrat 5,Table label,l5,hm,mh2,Module heading 2,Head 5,list 5,5,PA Pico Section,Titre 1.1111,Aston T5,délib.,Roman list1,T5"/>
    <w:basedOn w:val="Titre4"/>
    <w:next w:val="Normal"/>
    <w:qFormat/>
    <w:pPr>
      <w:numPr>
        <w:ilvl w:val="4"/>
      </w:numPr>
      <w:tabs>
        <w:tab w:val="left" w:pos="3600"/>
      </w:tabs>
      <w:outlineLvl w:val="4"/>
    </w:pPr>
    <w:rPr>
      <w:b/>
      <w:i w:val="0"/>
      <w:sz w:val="22"/>
    </w:rPr>
  </w:style>
  <w:style w:type="paragraph" w:styleId="Titre6">
    <w:name w:val="heading 6"/>
    <w:aliases w:val="H6,Titre 6CCTP"/>
    <w:basedOn w:val="Titre5"/>
    <w:next w:val="Normal"/>
    <w:pPr>
      <w:numPr>
        <w:ilvl w:val="5"/>
      </w:numPr>
      <w:tabs>
        <w:tab w:val="left" w:pos="4320"/>
      </w:tabs>
      <w:outlineLvl w:val="5"/>
    </w:pPr>
    <w:rPr>
      <w:sz w:val="20"/>
    </w:rPr>
  </w:style>
  <w:style w:type="paragraph" w:styleId="Titre7">
    <w:name w:val="heading 7"/>
    <w:aliases w:val="Titre 7CCTP"/>
    <w:basedOn w:val="Titre6"/>
    <w:next w:val="Normal"/>
    <w:qFormat/>
    <w:pPr>
      <w:numPr>
        <w:ilvl w:val="6"/>
      </w:numPr>
      <w:outlineLvl w:val="6"/>
    </w:pPr>
    <w:rPr>
      <w:b w:val="0"/>
      <w:i/>
    </w:rPr>
  </w:style>
  <w:style w:type="paragraph" w:styleId="Titre8">
    <w:name w:val="heading 8"/>
    <w:aliases w:val="Annexe3"/>
    <w:basedOn w:val="Titre7"/>
    <w:next w:val="Normal"/>
    <w:pPr>
      <w:numPr>
        <w:ilvl w:val="7"/>
      </w:numPr>
      <w:outlineLvl w:val="7"/>
    </w:pPr>
    <w:rPr>
      <w:b/>
      <w:i w:val="0"/>
      <w:sz w:val="18"/>
    </w:rPr>
  </w:style>
  <w:style w:type="paragraph" w:styleId="Titre9">
    <w:name w:val="heading 9"/>
    <w:aliases w:val="Annexe4,Titre 10"/>
    <w:basedOn w:val="Titre8"/>
    <w:next w:val="Normal"/>
    <w:pPr>
      <w:numPr>
        <w:ilvl w:val="8"/>
      </w:numPr>
      <w:outlineLvl w:val="8"/>
    </w:pPr>
    <w:rPr>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8z0">
    <w:name w:val="WW8Num8z0"/>
    <w:rPr>
      <w:rFonts w:ascii="Symbol" w:hAnsi="Symbol"/>
      <w:color w:val="000000"/>
    </w:rPr>
  </w:style>
  <w:style w:type="character" w:customStyle="1" w:styleId="WW8Num8z1">
    <w:name w:val="WW8Num8z1"/>
    <w:rPr>
      <w:rFonts w:ascii="Courier New" w:hAnsi="Courier New" w:cs="Courier New"/>
      <w:color w:val="000000"/>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7">
    <w:name w:val="WW8Num8z7"/>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Aria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5">
    <w:name w:val="WW8Num27z5"/>
    <w:rPr>
      <w:rFonts w:ascii="Wingdings" w:hAnsi="Wingdings"/>
    </w:rPr>
  </w:style>
  <w:style w:type="character" w:customStyle="1" w:styleId="WW8Num29z0">
    <w:name w:val="WW8Num29z0"/>
    <w:rPr>
      <w:rFonts w:ascii="Symbol" w:hAnsi="Symbol"/>
    </w:rPr>
  </w:style>
  <w:style w:type="character" w:customStyle="1" w:styleId="WW8Num29z2">
    <w:name w:val="WW8Num29z2"/>
    <w:rPr>
      <w:rFonts w:ascii="Wingdings" w:hAnsi="Wingdings"/>
    </w:rPr>
  </w:style>
  <w:style w:type="character" w:customStyle="1" w:styleId="WW8Num29z4">
    <w:name w:val="WW8Num29z4"/>
    <w:rPr>
      <w:rFonts w:ascii="Courier New" w:hAnsi="Courier New" w:cs="Courier New"/>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WW8Num39z0">
    <w:name w:val="WW8Num39z0"/>
    <w:rPr>
      <w:rFonts w:ascii="Wingdings 2" w:hAnsi="Wingdings 2"/>
    </w:rPr>
  </w:style>
  <w:style w:type="character" w:customStyle="1" w:styleId="WW8Num39z1">
    <w:name w:val="WW8Num39z1"/>
    <w:rPr>
      <w:rFonts w:ascii="Arial" w:hAnsi="Arial"/>
    </w:rPr>
  </w:style>
  <w:style w:type="character" w:customStyle="1" w:styleId="WW8Num40z0">
    <w:name w:val="WW8Num40z0"/>
    <w:rPr>
      <w:rFonts w:ascii="Symbol" w:hAnsi="Symbol"/>
    </w:rPr>
  </w:style>
  <w:style w:type="character" w:customStyle="1" w:styleId="WW8Num40z2">
    <w:name w:val="WW8Num40z2"/>
    <w:rPr>
      <w:rFonts w:ascii="Wingdings" w:hAnsi="Wingdings"/>
    </w:rPr>
  </w:style>
  <w:style w:type="character" w:customStyle="1" w:styleId="WW8Num40z4">
    <w:name w:val="WW8Num40z4"/>
    <w:rPr>
      <w:rFonts w:ascii="Courier New" w:hAnsi="Courier New" w:cs="Courier New"/>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0z0">
    <w:name w:val="WW8Num50z0"/>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5">
    <w:name w:val="WW8Num51z5"/>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Courier New" w:hAnsi="Courier New" w:cs="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color w:val="auto"/>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Times New Roman" w:eastAsia="Times New Roman" w:hAnsi="Times New Roman" w:cs="Times New Roman"/>
    </w:rPr>
  </w:style>
  <w:style w:type="character" w:customStyle="1" w:styleId="WW8Num62z1">
    <w:name w:val="WW8Num62z1"/>
    <w:rPr>
      <w:rFonts w:ascii="Symbol" w:hAnsi="Symbol"/>
    </w:rPr>
  </w:style>
  <w:style w:type="character" w:customStyle="1" w:styleId="WW8Num63z0">
    <w:name w:val="WW8Num63z0"/>
    <w:rPr>
      <w:rFonts w:ascii="Symbol" w:hAnsi="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4z0">
    <w:name w:val="WW8Num64z0"/>
    <w:rPr>
      <w:rFonts w:ascii="Symbol" w:hAnsi="Symbol"/>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Courier New" w:hAnsi="Courier New" w:cs="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8z0">
    <w:name w:val="WW8Num68z0"/>
    <w:rPr>
      <w:rFonts w:ascii="Wingdings" w:hAnsi="Wingdings"/>
    </w:rPr>
  </w:style>
  <w:style w:type="character" w:customStyle="1" w:styleId="WW8Num68z1">
    <w:name w:val="WW8Num68z1"/>
    <w:rPr>
      <w:rFonts w:ascii="Courier New" w:hAnsi="Courier New" w:cs="Courier New"/>
    </w:rPr>
  </w:style>
  <w:style w:type="character" w:customStyle="1" w:styleId="WW8Num68z3">
    <w:name w:val="WW8Num68z3"/>
    <w:rPr>
      <w:rFonts w:ascii="Symbol" w:hAnsi="Symbol"/>
    </w:rPr>
  </w:style>
  <w:style w:type="character" w:customStyle="1" w:styleId="WW8Num69z0">
    <w:name w:val="WW8Num69z0"/>
    <w:rPr>
      <w:rFonts w:ascii="Symbol" w:hAnsi="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rFonts w:ascii="Symbol" w:hAnsi="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6z0">
    <w:name w:val="WW8Num76z0"/>
    <w:rPr>
      <w:rFonts w:ascii="Symbol" w:hAnsi="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rPr>
  </w:style>
  <w:style w:type="character" w:customStyle="1" w:styleId="WW8Num77z0">
    <w:name w:val="WW8Num77z0"/>
    <w:rPr>
      <w:rFonts w:ascii="Courier New" w:hAnsi="Courier New" w:cs="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79z0">
    <w:name w:val="WW8Num79z0"/>
    <w:rPr>
      <w:rFonts w:ascii="Symbol" w:hAnsi="Symbol"/>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rPr>
  </w:style>
  <w:style w:type="character" w:customStyle="1" w:styleId="WW8Num80z0">
    <w:name w:val="WW8Num80z0"/>
    <w:rPr>
      <w:rFonts w:ascii="Wingdings 2" w:hAnsi="Wingdings 2"/>
    </w:rPr>
  </w:style>
  <w:style w:type="character" w:customStyle="1" w:styleId="WW8Num80z1">
    <w:name w:val="WW8Num80z1"/>
    <w:rPr>
      <w:rFonts w:ascii="Arial" w:hAnsi="Arial"/>
    </w:rPr>
  </w:style>
  <w:style w:type="character" w:customStyle="1" w:styleId="WW8Num81z0">
    <w:name w:val="WW8Num81z0"/>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rPr>
  </w:style>
  <w:style w:type="character" w:customStyle="1" w:styleId="WW8Num84z0">
    <w:name w:val="WW8Num84z0"/>
    <w:rPr>
      <w:rFonts w:ascii="Symbol" w:hAnsi="Symbol"/>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Policepardfaut1">
    <w:name w:val="Police par défaut1"/>
    <w:rPr>
      <w:sz w:val="24"/>
      <w:lang w:val="en-US" w:bidi="ar-SA"/>
    </w:rPr>
  </w:style>
  <w:style w:type="character" w:customStyle="1" w:styleId="Titre1Car">
    <w:name w:val="Titre 1 Car"/>
    <w:rPr>
      <w:rFonts w:cs="Arial"/>
      <w:b/>
      <w:sz w:val="40"/>
      <w:lang w:val="fr-FR" w:bidi="ar-SA"/>
    </w:rPr>
  </w:style>
  <w:style w:type="character" w:customStyle="1" w:styleId="Titre2Car">
    <w:name w:val="Titre 2 Car"/>
    <w:aliases w:val="Titre 2__ Car,paragraphe Car,Contrat 2 Car,Ctt Car,H2 Car,chapitre 1.1 Car,PFD2 Car,Titre 2 SQ Car,Titre 21 Car,t2.T2 Car,TITRE MARG... Car,h2 Car,Titre 2 - RAO Car,l2 Car,I2 Car,heading 2 Car,Heading2_Titre2 Car,H21 Car,H22 Car,H211 Car"/>
    <w:rPr>
      <w:rFonts w:cs="Arial"/>
      <w:b/>
      <w:sz w:val="32"/>
      <w:lang w:val="fr-FR" w:bidi="ar-SA"/>
    </w:rPr>
  </w:style>
  <w:style w:type="character" w:customStyle="1" w:styleId="Titre3Car">
    <w:name w:val="Titre 3 Car"/>
    <w:rPr>
      <w:rFonts w:cs="Arial"/>
      <w:b/>
      <w:sz w:val="28"/>
      <w:lang w:val="fr-FR" w:bidi="ar-SA"/>
    </w:rPr>
  </w:style>
  <w:style w:type="character" w:customStyle="1" w:styleId="Titre4Car">
    <w:name w:val="Titre 4 Car"/>
    <w:rPr>
      <w:rFonts w:cs="Arial"/>
      <w:i/>
      <w:sz w:val="24"/>
      <w:lang w:val="fr-FR" w:bidi="ar-SA"/>
    </w:rPr>
  </w:style>
  <w:style w:type="character" w:customStyle="1" w:styleId="Titre5Car">
    <w:name w:val="Titre 5 Car"/>
    <w:rPr>
      <w:rFonts w:cs="Arial"/>
      <w:b/>
      <w:sz w:val="22"/>
      <w:lang w:val="fr-FR" w:bidi="ar-SA"/>
    </w:rPr>
  </w:style>
  <w:style w:type="character" w:customStyle="1" w:styleId="Titre6Car">
    <w:name w:val="Titre 6 Car"/>
    <w:basedOn w:val="Titre5Car"/>
    <w:rPr>
      <w:rFonts w:cs="Arial"/>
      <w:b/>
      <w:sz w:val="22"/>
      <w:lang w:val="fr-FR" w:bidi="ar-SA"/>
    </w:rPr>
  </w:style>
  <w:style w:type="character" w:customStyle="1" w:styleId="TIndent2Alt2CharChar1">
    <w:name w:val="T.Indenté2 (Alt+2) Char Char1"/>
    <w:rPr>
      <w:sz w:val="24"/>
      <w:lang w:val="fr-FR" w:bidi="ar-SA"/>
    </w:rPr>
  </w:style>
  <w:style w:type="character" w:customStyle="1" w:styleId="TIndent1Alt1Char">
    <w:name w:val="T.Indenté1 (Alt+1) Char"/>
    <w:rPr>
      <w:rFonts w:cs="Arial"/>
      <w:sz w:val="24"/>
      <w:lang w:val="fr-FR" w:bidi="ar-SA"/>
    </w:rPr>
  </w:style>
  <w:style w:type="character" w:styleId="Lienhypertexte">
    <w:name w:val="Hyperlink"/>
    <w:uiPriority w:val="99"/>
    <w:rPr>
      <w:color w:val="0000FF"/>
      <w:sz w:val="24"/>
      <w:u w:val="single"/>
      <w:lang w:val="en-US" w:bidi="ar-SA"/>
    </w:rPr>
  </w:style>
  <w:style w:type="character" w:customStyle="1" w:styleId="TextstandardChar">
    <w:name w:val="Text_standard Char"/>
    <w:rPr>
      <w:rFonts w:cs="Arial"/>
      <w:sz w:val="24"/>
      <w:lang w:val="fr-FR" w:bidi="ar-SA"/>
    </w:rPr>
  </w:style>
  <w:style w:type="character" w:customStyle="1" w:styleId="Heading2Char">
    <w:name w:val="Heading2 Char"/>
    <w:rPr>
      <w:rFonts w:ascii="Times New Roman" w:hAnsi="Times New Roman" w:cs="Arial"/>
      <w:b/>
      <w:sz w:val="32"/>
      <w:lang w:val="fr-FR" w:bidi="ar-SA"/>
    </w:rPr>
  </w:style>
  <w:style w:type="character" w:customStyle="1" w:styleId="H3Char">
    <w:name w:val="H3 Char"/>
    <w:rPr>
      <w:rFonts w:ascii="Times New Roman" w:hAnsi="Times New Roman" w:cs="Arial"/>
      <w:b/>
      <w:sz w:val="28"/>
      <w:lang w:val="fr-FR" w:bidi="ar-SA"/>
    </w:rPr>
  </w:style>
  <w:style w:type="character" w:customStyle="1" w:styleId="H4Char">
    <w:name w:val="H4 Char"/>
    <w:rPr>
      <w:rFonts w:ascii="Times New Roman" w:hAnsi="Times New Roman" w:cs="Arial"/>
      <w:b/>
      <w:i/>
      <w:sz w:val="24"/>
      <w:lang w:val="fr-FR" w:bidi="ar-SA"/>
    </w:rPr>
  </w:style>
  <w:style w:type="character" w:customStyle="1" w:styleId="Heading2Char1">
    <w:name w:val="Heading2 Char1"/>
    <w:rPr>
      <w:rFonts w:ascii="Times New Roman" w:hAnsi="Times New Roman" w:cs="Arial"/>
      <w:b/>
      <w:sz w:val="32"/>
      <w:lang w:val="fr-FR" w:bidi="ar-SA"/>
    </w:rPr>
  </w:style>
  <w:style w:type="character" w:customStyle="1" w:styleId="H3Char1">
    <w:name w:val="H3 Char1"/>
    <w:rPr>
      <w:rFonts w:ascii="Times New Roman" w:hAnsi="Times New Roman" w:cs="Arial"/>
      <w:b/>
      <w:sz w:val="28"/>
      <w:lang w:val="fr-FR" w:bidi="ar-SA"/>
    </w:rPr>
  </w:style>
  <w:style w:type="character" w:customStyle="1" w:styleId="Heading2Char2">
    <w:name w:val="Heading2 Char2"/>
    <w:rPr>
      <w:rFonts w:cs="Arial"/>
      <w:b/>
      <w:sz w:val="32"/>
      <w:lang w:val="fr-FR" w:bidi="ar-SA"/>
    </w:rPr>
  </w:style>
  <w:style w:type="character" w:customStyle="1" w:styleId="H3Char2">
    <w:name w:val="H3 Char2"/>
    <w:rPr>
      <w:rFonts w:cs="Arial"/>
      <w:b/>
      <w:sz w:val="28"/>
      <w:lang w:val="fr-FR" w:bidi="ar-SA"/>
    </w:rPr>
  </w:style>
  <w:style w:type="character" w:customStyle="1" w:styleId="H4Char1">
    <w:name w:val="H4 Char1"/>
    <w:rPr>
      <w:rFonts w:cs="Arial"/>
      <w:i/>
      <w:sz w:val="24"/>
      <w:lang w:val="fr-FR" w:bidi="ar-SA"/>
    </w:rPr>
  </w:style>
  <w:style w:type="character" w:customStyle="1" w:styleId="Heading4Char">
    <w:name w:val="Heading 4 Char"/>
    <w:rPr>
      <w:rFonts w:ascii="Times New Roman" w:hAnsi="Times New Roman" w:cs="Arial"/>
      <w:b/>
      <w:i/>
      <w:sz w:val="24"/>
      <w:lang w:val="fr-FR" w:bidi="ar-SA"/>
    </w:rPr>
  </w:style>
  <w:style w:type="character" w:customStyle="1" w:styleId="TextTChar1">
    <w:name w:val="Text (T) Char1"/>
    <w:rPr>
      <w:rFonts w:ascii="Times New Roman" w:hAnsi="Times New Roman" w:cs="Arial"/>
      <w:sz w:val="24"/>
      <w:lang w:val="fr-FR" w:bidi="ar-SA"/>
    </w:rPr>
  </w:style>
  <w:style w:type="character" w:customStyle="1" w:styleId="StyleNiveau1Char">
    <w:name w:val="Style Niveau 1 Char"/>
    <w:basedOn w:val="Titre1Car"/>
    <w:rPr>
      <w:rFonts w:cs="Arial"/>
      <w:b/>
      <w:sz w:val="40"/>
      <w:lang w:val="fr-FR" w:bidi="ar-SA"/>
    </w:rPr>
  </w:style>
  <w:style w:type="character" w:customStyle="1" w:styleId="mj1">
    <w:name w:val="mj1"/>
    <w:rPr>
      <w:color w:val="00FFFA"/>
      <w:sz w:val="24"/>
      <w:lang w:val="en-US" w:bidi="ar-SA"/>
    </w:rPr>
  </w:style>
  <w:style w:type="character" w:customStyle="1" w:styleId="eou">
    <w:name w:val="e ou"/>
    <w:basedOn w:val="Policepardfaut1"/>
    <w:rPr>
      <w:sz w:val="24"/>
      <w:lang w:val="en-US" w:bidi="ar-SA"/>
    </w:rPr>
  </w:style>
  <w:style w:type="character" w:customStyle="1" w:styleId="l8ou">
    <w:name w:val="l8 ou"/>
    <w:basedOn w:val="Policepardfaut1"/>
    <w:rPr>
      <w:sz w:val="24"/>
      <w:lang w:val="en-US" w:bidi="ar-SA"/>
    </w:rPr>
  </w:style>
  <w:style w:type="character" w:customStyle="1" w:styleId="l310">
    <w:name w:val="l310"/>
    <w:rPr>
      <w:color w:val="FFFFFF"/>
      <w:sz w:val="24"/>
      <w:lang w:val="en-US" w:bidi="ar-SA"/>
    </w:rPr>
  </w:style>
  <w:style w:type="character" w:customStyle="1" w:styleId="StyleLgendeChar">
    <w:name w:val="Style Légende Char"/>
    <w:rPr>
      <w:i/>
      <w:sz w:val="24"/>
      <w:lang w:val="fr-FR" w:bidi="ar-SA"/>
    </w:rPr>
  </w:style>
  <w:style w:type="character" w:customStyle="1" w:styleId="Marquedecommentaire1">
    <w:name w:val="Marque de commentaire1"/>
    <w:rPr>
      <w:sz w:val="16"/>
      <w:szCs w:val="16"/>
      <w:lang w:val="en-US" w:bidi="ar-SA"/>
    </w:rPr>
  </w:style>
  <w:style w:type="character" w:styleId="Lienhypertextesuivivisit">
    <w:name w:val="FollowedHyperlink"/>
    <w:rPr>
      <w:color w:val="800080"/>
      <w:sz w:val="24"/>
      <w:u w:val="single"/>
      <w:lang w:val="en-US" w:bidi="ar-SA"/>
    </w:rPr>
  </w:style>
  <w:style w:type="character" w:styleId="Accentuation">
    <w:name w:val="Emphasis"/>
    <w:rPr>
      <w:i/>
      <w:iCs/>
      <w:sz w:val="24"/>
      <w:lang w:val="en-US" w:bidi="ar-SA"/>
    </w:rPr>
  </w:style>
  <w:style w:type="character" w:customStyle="1" w:styleId="ONPCorpsdetexteCar">
    <w:name w:val="ONP Corps de texte Car"/>
    <w:basedOn w:val="TextstandardChar"/>
    <w:rPr>
      <w:rFonts w:cs="Arial"/>
      <w:sz w:val="24"/>
      <w:lang w:val="fr-FR" w:bidi="ar-SA"/>
    </w:rPr>
  </w:style>
  <w:style w:type="character" w:customStyle="1" w:styleId="Caractresdenotedebasdepage">
    <w:name w:val="Caractères de note de bas de page"/>
    <w:rPr>
      <w:sz w:val="24"/>
      <w:vertAlign w:val="superscript"/>
      <w:lang w:val="en-US" w:bidi="ar-SA"/>
    </w:rPr>
  </w:style>
  <w:style w:type="character" w:customStyle="1" w:styleId="ONPLgendeCar">
    <w:name w:val="ONP Légende Car"/>
    <w:rPr>
      <w:i/>
      <w:sz w:val="24"/>
      <w:lang w:val="fr-FR" w:bidi="ar-SA"/>
    </w:rPr>
  </w:style>
  <w:style w:type="character" w:customStyle="1" w:styleId="ONPPoint2Car">
    <w:name w:val="ONP Point 2 Car"/>
    <w:rPr>
      <w:sz w:val="24"/>
      <w:lang w:val="fr-FR" w:bidi="ar-SA"/>
    </w:rPr>
  </w:style>
  <w:style w:type="character" w:customStyle="1" w:styleId="ONPPoint1Car">
    <w:name w:val="ONP Point 1 Car"/>
    <w:rPr>
      <w:rFonts w:ascii="Times New Roman" w:hAnsi="Times New Roman" w:cs="Arial"/>
      <w:sz w:val="24"/>
    </w:rPr>
  </w:style>
  <w:style w:type="character" w:customStyle="1" w:styleId="TableauCar">
    <w:name w:val="Tableau Car"/>
    <w:rPr>
      <w:rFonts w:ascii="Arial Narrow" w:hAnsi="Arial Narrow" w:cs="Arial"/>
      <w:sz w:val="22"/>
      <w:szCs w:val="22"/>
      <w:lang w:val="en-US" w:bidi="ar-SA"/>
    </w:rPr>
  </w:style>
  <w:style w:type="character" w:customStyle="1" w:styleId="PuceCar">
    <w:name w:val="Puce_ Car"/>
    <w:rPr>
      <w:rFonts w:ascii="Arial" w:hAnsi="Arial" w:cs="Arial"/>
      <w:sz w:val="22"/>
      <w:szCs w:val="24"/>
      <w:lang w:val="en-US" w:bidi="ar-SA"/>
    </w:rPr>
  </w:style>
  <w:style w:type="character" w:customStyle="1" w:styleId="FieldCar">
    <w:name w:val="Field Car"/>
    <w:rPr>
      <w:rFonts w:ascii="Arial" w:hAnsi="Arial" w:cs="Arial"/>
      <w:b/>
      <w:w w:val="80"/>
      <w:sz w:val="22"/>
      <w:szCs w:val="24"/>
      <w:lang w:val="en-US" w:bidi="ar-SA"/>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pPr>
    <w:rPr>
      <w:rFonts w:ascii="Arial" w:eastAsia="Microsoft YaHei" w:hAnsi="Arial" w:cs="Mangal"/>
      <w:sz w:val="28"/>
      <w:szCs w:val="28"/>
    </w:rPr>
  </w:style>
  <w:style w:type="paragraph" w:styleId="Corpsdetexte">
    <w:name w:val="Body Text"/>
    <w:basedOn w:val="Normal"/>
    <w:pPr>
      <w:spacing w:before="0"/>
    </w:pPr>
  </w:style>
  <w:style w:type="paragraph" w:styleId="Liste">
    <w:name w:val="List"/>
    <w:basedOn w:val="Corpsdetexte"/>
    <w:rPr>
      <w:rFonts w:cs="Mangal"/>
    </w:rPr>
  </w:style>
  <w:style w:type="paragraph" w:styleId="Lgende">
    <w:name w:val="caption"/>
    <w:basedOn w:val="Normal"/>
    <w:pPr>
      <w:suppressLineNumbers/>
    </w:pPr>
    <w:rPr>
      <w:rFonts w:cs="Mangal"/>
      <w:i/>
      <w:iCs/>
      <w:szCs w:val="24"/>
    </w:rPr>
  </w:style>
  <w:style w:type="paragraph" w:customStyle="1" w:styleId="Index">
    <w:name w:val="Index"/>
    <w:basedOn w:val="Normal"/>
    <w:pPr>
      <w:suppressLineNumbers/>
    </w:pPr>
    <w:rPr>
      <w:rFonts w:cs="Mangal"/>
    </w:rPr>
  </w:style>
  <w:style w:type="paragraph" w:styleId="TM8">
    <w:name w:val="toc 8"/>
    <w:basedOn w:val="Normal"/>
    <w:next w:val="Normal"/>
    <w:pPr>
      <w:tabs>
        <w:tab w:val="left" w:leader="dot" w:pos="8646"/>
        <w:tab w:val="right" w:pos="9071"/>
      </w:tabs>
      <w:ind w:left="4961" w:right="850"/>
    </w:pPr>
  </w:style>
  <w:style w:type="paragraph" w:styleId="TM7">
    <w:name w:val="toc 7"/>
    <w:basedOn w:val="Normal"/>
    <w:next w:val="Normal"/>
    <w:pPr>
      <w:tabs>
        <w:tab w:val="left" w:leader="dot" w:pos="8646"/>
        <w:tab w:val="right" w:pos="9071"/>
      </w:tabs>
      <w:ind w:left="4253" w:right="850"/>
    </w:pPr>
  </w:style>
  <w:style w:type="paragraph" w:styleId="TM6">
    <w:name w:val="toc 6"/>
    <w:basedOn w:val="Normal"/>
    <w:next w:val="Normal"/>
    <w:pPr>
      <w:tabs>
        <w:tab w:val="left" w:leader="dot" w:pos="8646"/>
        <w:tab w:val="right" w:pos="9071"/>
      </w:tabs>
      <w:ind w:left="3544" w:right="850"/>
    </w:pPr>
  </w:style>
  <w:style w:type="paragraph" w:styleId="TM5">
    <w:name w:val="toc 5"/>
    <w:basedOn w:val="Normal"/>
    <w:next w:val="Normal"/>
    <w:uiPriority w:val="39"/>
    <w:pPr>
      <w:tabs>
        <w:tab w:val="left" w:leader="dot" w:pos="8646"/>
        <w:tab w:val="right" w:pos="9071"/>
      </w:tabs>
      <w:spacing w:after="0"/>
      <w:ind w:left="2835" w:right="851" w:hanging="1134"/>
    </w:pPr>
  </w:style>
  <w:style w:type="paragraph" w:styleId="TM1">
    <w:name w:val="toc 1"/>
    <w:basedOn w:val="Normal"/>
    <w:uiPriority w:val="39"/>
    <w:pPr>
      <w:keepNext/>
      <w:tabs>
        <w:tab w:val="right" w:leader="dot" w:pos="9071"/>
      </w:tabs>
      <w:spacing w:before="260" w:after="0" w:line="240" w:lineRule="atLeast"/>
      <w:ind w:left="993" w:right="851" w:hanging="357"/>
    </w:pPr>
    <w:rPr>
      <w:b/>
      <w:sz w:val="22"/>
    </w:rPr>
  </w:style>
  <w:style w:type="paragraph" w:styleId="TM2">
    <w:name w:val="toc 2"/>
    <w:basedOn w:val="TM1"/>
    <w:next w:val="Normal"/>
    <w:uiPriority w:val="39"/>
    <w:pPr>
      <w:keepNext w:val="0"/>
      <w:spacing w:before="120"/>
      <w:ind w:left="1418" w:hanging="567"/>
    </w:pPr>
    <w:rPr>
      <w:b w:val="0"/>
    </w:rPr>
  </w:style>
  <w:style w:type="paragraph" w:styleId="TM3">
    <w:name w:val="toc 3"/>
    <w:basedOn w:val="TM2"/>
    <w:next w:val="Normal"/>
    <w:uiPriority w:val="39"/>
    <w:pPr>
      <w:spacing w:before="0"/>
      <w:ind w:left="1843" w:hanging="709"/>
    </w:pPr>
  </w:style>
  <w:style w:type="paragraph" w:styleId="TM4">
    <w:name w:val="toc 4"/>
    <w:basedOn w:val="TM3"/>
    <w:next w:val="Normal"/>
    <w:uiPriority w:val="39"/>
    <w:pPr>
      <w:ind w:left="2410"/>
    </w:pPr>
  </w:style>
  <w:style w:type="paragraph" w:styleId="TM9">
    <w:name w:val="toc 9"/>
    <w:basedOn w:val="Normal"/>
    <w:next w:val="Normal"/>
    <w:pPr>
      <w:tabs>
        <w:tab w:val="right" w:leader="dot" w:pos="9071"/>
      </w:tabs>
      <w:ind w:left="1760"/>
    </w:pPr>
  </w:style>
  <w:style w:type="paragraph" w:customStyle="1" w:styleId="TIndent2Alt2">
    <w:name w:val="T.Indenté2 (Alt+2)"/>
    <w:basedOn w:val="Normal"/>
    <w:pPr>
      <w:numPr>
        <w:numId w:val="16"/>
      </w:numPr>
      <w:tabs>
        <w:tab w:val="left" w:pos="284"/>
      </w:tabs>
      <w:spacing w:before="0"/>
    </w:pPr>
  </w:style>
  <w:style w:type="paragraph" w:styleId="En-tte">
    <w:name w:val="header"/>
    <w:aliases w:val="En-tête1,E.e,E,En-tête11,E.e1,E1,En-tête-1,En-tête-2"/>
    <w:basedOn w:val="Normal"/>
    <w:link w:val="En-tteCar"/>
    <w:uiPriority w:val="99"/>
    <w:pPr>
      <w:tabs>
        <w:tab w:val="center" w:pos="4320"/>
        <w:tab w:val="right" w:pos="8640"/>
      </w:tabs>
    </w:pPr>
    <w:rPr>
      <w:rFonts w:cs="Times New Roman"/>
    </w:rPr>
  </w:style>
  <w:style w:type="paragraph" w:customStyle="1" w:styleId="TIndent1Alt1">
    <w:name w:val="T.Indenté1 (Alt+1)"/>
    <w:basedOn w:val="Normal"/>
    <w:pPr>
      <w:keepLines/>
      <w:numPr>
        <w:numId w:val="45"/>
      </w:numPr>
      <w:tabs>
        <w:tab w:val="left" w:pos="284"/>
      </w:tabs>
    </w:pPr>
    <w:rPr>
      <w:rFonts w:cs="Arial"/>
    </w:rPr>
  </w:style>
  <w:style w:type="paragraph" w:customStyle="1" w:styleId="Textstandard">
    <w:name w:val="Text_standard"/>
    <w:basedOn w:val="Normal"/>
    <w:pPr>
      <w:keepLines/>
    </w:pPr>
    <w:rPr>
      <w:rFonts w:cs="Arial"/>
    </w:rPr>
  </w:style>
  <w:style w:type="paragraph" w:customStyle="1" w:styleId="ONPCorpsdetexte">
    <w:name w:val="ONP Corps de texte"/>
    <w:basedOn w:val="Textstandard"/>
  </w:style>
  <w:style w:type="paragraph" w:customStyle="1" w:styleId="ONPTitre1">
    <w:name w:val="ONP Titre 1"/>
    <w:basedOn w:val="Titre1"/>
    <w:next w:val="ONPCorpsdetexte"/>
    <w:pPr>
      <w:tabs>
        <w:tab w:val="num" w:pos="1077"/>
      </w:tabs>
      <w:ind w:left="794" w:hanging="794"/>
    </w:pPr>
  </w:style>
  <w:style w:type="paragraph" w:customStyle="1" w:styleId="ONPTitre2">
    <w:name w:val="ONP Titre 2"/>
    <w:basedOn w:val="Titre2"/>
    <w:next w:val="ONPCorpsdetexte"/>
    <w:pPr>
      <w:numPr>
        <w:ilvl w:val="0"/>
        <w:numId w:val="10"/>
      </w:numPr>
    </w:pPr>
  </w:style>
  <w:style w:type="paragraph" w:customStyle="1" w:styleId="ONPTitre3">
    <w:name w:val="ONP Titre 3"/>
    <w:basedOn w:val="Titre3"/>
    <w:next w:val="ONPCorpsdetexte"/>
    <w:pPr>
      <w:numPr>
        <w:ilvl w:val="0"/>
        <w:numId w:val="0"/>
      </w:numPr>
      <w:tabs>
        <w:tab w:val="num" w:pos="1077"/>
      </w:tabs>
      <w:ind w:left="794" w:hanging="794"/>
    </w:pPr>
  </w:style>
  <w:style w:type="paragraph" w:customStyle="1" w:styleId="ONPTitre4">
    <w:name w:val="ONP Titre 4"/>
    <w:basedOn w:val="Titre4"/>
    <w:next w:val="ONPCorpsdetexte"/>
    <w:pPr>
      <w:numPr>
        <w:ilvl w:val="0"/>
        <w:numId w:val="0"/>
      </w:numPr>
      <w:tabs>
        <w:tab w:val="num" w:pos="1077"/>
      </w:tabs>
      <w:ind w:left="794" w:hanging="794"/>
    </w:pPr>
  </w:style>
  <w:style w:type="paragraph" w:customStyle="1" w:styleId="ONPTitre5">
    <w:name w:val="ONP Titre 5"/>
    <w:basedOn w:val="Titre5"/>
    <w:next w:val="ONPCorpsdetexte"/>
    <w:pPr>
      <w:numPr>
        <w:ilvl w:val="0"/>
        <w:numId w:val="0"/>
      </w:numPr>
      <w:tabs>
        <w:tab w:val="num" w:pos="1077"/>
      </w:tabs>
      <w:ind w:left="794" w:hanging="794"/>
    </w:pPr>
  </w:style>
  <w:style w:type="paragraph" w:customStyle="1" w:styleId="ONPTitre6">
    <w:name w:val="ONP Titre 6"/>
    <w:basedOn w:val="Titre6"/>
    <w:next w:val="ONPCorpsdetexte"/>
    <w:pPr>
      <w:numPr>
        <w:ilvl w:val="0"/>
        <w:numId w:val="0"/>
      </w:numPr>
      <w:tabs>
        <w:tab w:val="num" w:pos="1077"/>
      </w:tabs>
      <w:ind w:left="794" w:hanging="794"/>
    </w:pPr>
  </w:style>
  <w:style w:type="paragraph" w:customStyle="1" w:styleId="ONPPoint1">
    <w:name w:val="ONP Point 1"/>
    <w:basedOn w:val="TIndent1Alt1"/>
    <w:pPr>
      <w:numPr>
        <w:numId w:val="28"/>
      </w:numPr>
    </w:pPr>
  </w:style>
  <w:style w:type="paragraph" w:customStyle="1" w:styleId="ONPPoint2">
    <w:name w:val="ONP Point 2"/>
    <w:basedOn w:val="TIndent2Alt2"/>
    <w:pPr>
      <w:numPr>
        <w:numId w:val="0"/>
      </w:numPr>
    </w:pPr>
  </w:style>
  <w:style w:type="paragraph" w:customStyle="1" w:styleId="ONPPoint3">
    <w:name w:val="ONP Point 3"/>
    <w:basedOn w:val="TIndent2Alt2"/>
    <w:pPr>
      <w:numPr>
        <w:numId w:val="47"/>
      </w:numPr>
      <w:tabs>
        <w:tab w:val="clear" w:pos="284"/>
      </w:tabs>
    </w:pPr>
  </w:style>
  <w:style w:type="paragraph" w:customStyle="1" w:styleId="ONPLgende">
    <w:name w:val="ONP Légende"/>
    <w:basedOn w:val="Normal"/>
    <w:next w:val="ONPCorpsdetexte"/>
    <w:pPr>
      <w:jc w:val="center"/>
    </w:pPr>
    <w:rPr>
      <w:i/>
      <w:sz w:val="20"/>
    </w:rPr>
  </w:style>
  <w:style w:type="paragraph" w:customStyle="1" w:styleId="TextT">
    <w:name w:val="Text (T)"/>
    <w:pPr>
      <w:keepLines/>
      <w:suppressAutoHyphens/>
      <w:spacing w:before="120" w:after="120" w:line="260" w:lineRule="atLeast"/>
      <w:ind w:left="794"/>
      <w:jc w:val="both"/>
    </w:pPr>
    <w:rPr>
      <w:rFonts w:eastAsia="Arial" w:cs="Arial"/>
      <w:sz w:val="24"/>
      <w:lang w:eastAsia="zh-CN"/>
    </w:rPr>
  </w:style>
  <w:style w:type="paragraph" w:customStyle="1" w:styleId="Enumration0">
    <w:name w:val="_Enumération0"/>
    <w:basedOn w:val="Normal"/>
    <w:pPr>
      <w:tabs>
        <w:tab w:val="left" w:pos="360"/>
      </w:tabs>
      <w:spacing w:before="0" w:after="0" w:line="100" w:lineRule="atLeast"/>
      <w:ind w:left="360" w:hanging="360"/>
    </w:pPr>
    <w:rPr>
      <w:szCs w:val="24"/>
    </w:rPr>
  </w:style>
  <w:style w:type="paragraph" w:customStyle="1" w:styleId="image">
    <w:name w:val="image"/>
    <w:basedOn w:val="Normal"/>
    <w:pPr>
      <w:spacing w:before="100" w:after="100" w:line="100" w:lineRule="atLeast"/>
    </w:pPr>
    <w:rPr>
      <w:szCs w:val="24"/>
      <w:lang w:val="en-US"/>
    </w:rPr>
  </w:style>
  <w:style w:type="paragraph" w:customStyle="1" w:styleId="PAQ-Bullet1">
    <w:name w:val="PAQ - Bullet 1"/>
    <w:basedOn w:val="TIndent1Alt1"/>
    <w:pPr>
      <w:numPr>
        <w:numId w:val="0"/>
      </w:numPr>
      <w:tabs>
        <w:tab w:val="left" w:pos="360"/>
      </w:tabs>
      <w:ind w:left="360" w:hanging="360"/>
    </w:pPr>
  </w:style>
  <w:style w:type="paragraph" w:customStyle="1" w:styleId="StyleNiveau1">
    <w:name w:val="Style Niveau 1"/>
    <w:basedOn w:val="Titre1"/>
    <w:next w:val="Normal"/>
    <w:pPr>
      <w:tabs>
        <w:tab w:val="left" w:pos="1077"/>
      </w:tabs>
      <w:ind w:left="794" w:hanging="794"/>
    </w:pPr>
  </w:style>
  <w:style w:type="paragraph" w:styleId="Pieddepage">
    <w:name w:val="footer"/>
    <w:basedOn w:val="Normal"/>
    <w:link w:val="PieddepageCar"/>
    <w:uiPriority w:val="99"/>
    <w:pPr>
      <w:tabs>
        <w:tab w:val="center" w:pos="4536"/>
        <w:tab w:val="right" w:pos="9072"/>
      </w:tabs>
    </w:pPr>
    <w:rPr>
      <w:rFonts w:cs="Times New Roman"/>
    </w:rPr>
  </w:style>
  <w:style w:type="paragraph" w:customStyle="1" w:styleId="Char1CharCharCharCharCarCar4CharCharCharCharCarCarCharChar">
    <w:name w:val="Char1 Char Char Char Char Car Car4 Char Char Char Char Car Car Char Char"/>
    <w:basedOn w:val="Normal"/>
    <w:pPr>
      <w:spacing w:before="0" w:after="160" w:line="240" w:lineRule="exact"/>
    </w:pPr>
    <w:rPr>
      <w:lang w:val="en-US"/>
    </w:rPr>
  </w:style>
  <w:style w:type="paragraph" w:customStyle="1" w:styleId="StyleLgende">
    <w:name w:val="Style Légende"/>
    <w:basedOn w:val="Normal"/>
    <w:next w:val="Normal"/>
    <w:pPr>
      <w:spacing w:before="0" w:after="60" w:line="100" w:lineRule="atLeast"/>
      <w:jc w:val="center"/>
    </w:pPr>
    <w:rPr>
      <w:i/>
      <w:sz w:val="20"/>
    </w:rPr>
  </w:style>
  <w:style w:type="paragraph" w:customStyle="1" w:styleId="Commentaire1">
    <w:name w:val="Commentaire1"/>
    <w:basedOn w:val="Normal"/>
    <w:rPr>
      <w:sz w:val="20"/>
    </w:rPr>
  </w:style>
  <w:style w:type="paragraph" w:styleId="Objetducommentaire">
    <w:name w:val="annotation subject"/>
    <w:basedOn w:val="Commentaire1"/>
    <w:next w:val="Commentaire1"/>
    <w:rPr>
      <w:b/>
      <w:bCs/>
    </w:rPr>
  </w:style>
  <w:style w:type="paragraph" w:styleId="Textedebulles">
    <w:name w:val="Balloon Text"/>
    <w:basedOn w:val="Normal"/>
    <w:rPr>
      <w:rFonts w:ascii="Tahoma" w:hAnsi="Tahoma" w:cs="Tahoma"/>
      <w:sz w:val="16"/>
      <w:szCs w:val="16"/>
    </w:rPr>
  </w:style>
  <w:style w:type="paragraph" w:customStyle="1" w:styleId="Listepuces21">
    <w:name w:val="Liste à puces 21"/>
    <w:basedOn w:val="Normal"/>
    <w:pPr>
      <w:keepLines/>
      <w:numPr>
        <w:numId w:val="27"/>
      </w:numPr>
      <w:spacing w:after="0" w:line="100" w:lineRule="atLeast"/>
      <w:ind w:left="1135" w:firstLine="0"/>
    </w:pPr>
    <w:rPr>
      <w:rFonts w:ascii="Arial" w:eastAsia="MS Mincho" w:hAnsi="Arial" w:cs="Arial"/>
      <w:sz w:val="20"/>
      <w:lang w:eastAsia="ja-JP"/>
    </w:rPr>
  </w:style>
  <w:style w:type="paragraph" w:customStyle="1" w:styleId="CharCharCarCharCharCar">
    <w:name w:val="Char Char Car Char Char Car"/>
    <w:basedOn w:val="Normal"/>
    <w:pPr>
      <w:spacing w:before="0" w:after="80" w:line="100" w:lineRule="atLeast"/>
    </w:pPr>
    <w:rPr>
      <w:rFonts w:ascii="Arial" w:hAnsi="Arial"/>
      <w:sz w:val="20"/>
    </w:rPr>
  </w:style>
  <w:style w:type="paragraph" w:customStyle="1" w:styleId="Listepuces1">
    <w:name w:val="Liste à puces1"/>
    <w:basedOn w:val="Normal"/>
    <w:pPr>
      <w:numPr>
        <w:numId w:val="4"/>
      </w:numPr>
    </w:pPr>
  </w:style>
  <w:style w:type="paragraph" w:customStyle="1" w:styleId="Listepuces31">
    <w:name w:val="Liste à puces 31"/>
    <w:basedOn w:val="Normal"/>
    <w:pPr>
      <w:numPr>
        <w:numId w:val="3"/>
      </w:numPr>
    </w:pPr>
  </w:style>
  <w:style w:type="paragraph" w:customStyle="1" w:styleId="Listepuces41">
    <w:name w:val="Liste à puces 41"/>
    <w:basedOn w:val="Normal"/>
    <w:pPr>
      <w:keepLines/>
      <w:tabs>
        <w:tab w:val="left" w:pos="454"/>
      </w:tabs>
      <w:spacing w:after="0" w:line="100" w:lineRule="atLeast"/>
      <w:ind w:left="397" w:hanging="397"/>
    </w:pPr>
    <w:rPr>
      <w:rFonts w:ascii="Arial" w:eastAsia="MS Mincho" w:hAnsi="Arial" w:cs="Arial"/>
      <w:sz w:val="20"/>
      <w:lang w:eastAsia="ja-JP"/>
    </w:rPr>
  </w:style>
  <w:style w:type="paragraph" w:customStyle="1" w:styleId="Listepuces51">
    <w:name w:val="Liste à puces 51"/>
    <w:basedOn w:val="Normal"/>
    <w:pPr>
      <w:numPr>
        <w:numId w:val="2"/>
      </w:numPr>
    </w:pPr>
  </w:style>
  <w:style w:type="paragraph" w:customStyle="1" w:styleId="RemarqueR">
    <w:name w:val="Remarque (R)"/>
    <w:basedOn w:val="TextT"/>
    <w:next w:val="TextT"/>
    <w:pPr>
      <w:numPr>
        <w:numId w:val="42"/>
      </w:numPr>
      <w:ind w:left="2835" w:hanging="1134"/>
    </w:pPr>
    <w:rPr>
      <w:i/>
    </w:rPr>
  </w:style>
  <w:style w:type="paragraph" w:customStyle="1" w:styleId="WW-Lgende">
    <w:name w:val="WW-Légende"/>
    <w:basedOn w:val="Normal"/>
    <w:next w:val="Normal"/>
    <w:pPr>
      <w:overflowPunct w:val="0"/>
      <w:autoSpaceDE w:val="0"/>
      <w:spacing w:line="100" w:lineRule="atLeast"/>
      <w:textAlignment w:val="baseline"/>
    </w:pPr>
    <w:rPr>
      <w:rFonts w:ascii="Arial" w:hAnsi="Arial" w:cs="Arial"/>
      <w:b/>
      <w:bCs/>
      <w:sz w:val="20"/>
    </w:rPr>
  </w:style>
  <w:style w:type="paragraph" w:customStyle="1" w:styleId="CarCarCarCar2222CarCarCarCarCarCarCarCar1CarCarCarCarCarCarCarCarCarCar">
    <w:name w:val="Car Car Car Car2222 Car Car Car Car Car Car Car Car1 Car Car Car Car Car Car Car Car Car Car"/>
    <w:basedOn w:val="Normal"/>
    <w:pPr>
      <w:spacing w:before="0" w:after="160" w:line="240" w:lineRule="exact"/>
    </w:pPr>
    <w:rPr>
      <w:lang w:val="en-US"/>
    </w:rPr>
  </w:style>
  <w:style w:type="paragraph" w:customStyle="1" w:styleId="CharCharCarCharCharCar1">
    <w:name w:val="Char Char Car Char Char Car1"/>
    <w:basedOn w:val="Normal"/>
    <w:pPr>
      <w:spacing w:before="0" w:after="80" w:line="100" w:lineRule="atLeast"/>
    </w:pPr>
    <w:rPr>
      <w:lang w:val="en-US"/>
    </w:rPr>
  </w:style>
  <w:style w:type="paragraph" w:customStyle="1" w:styleId="textt0">
    <w:name w:val="textt"/>
    <w:basedOn w:val="Normal"/>
    <w:rPr>
      <w:szCs w:val="24"/>
    </w:rPr>
  </w:style>
  <w:style w:type="paragraph" w:customStyle="1" w:styleId="Tabledesillustrations1">
    <w:name w:val="Table des illustrations1"/>
    <w:basedOn w:val="Normal"/>
    <w:next w:val="Normal"/>
  </w:style>
  <w:style w:type="paragraph" w:customStyle="1" w:styleId="Explorateurdedocuments1">
    <w:name w:val="Explorateur de documents1"/>
    <w:basedOn w:val="Normal"/>
    <w:pPr>
      <w:shd w:val="clear" w:color="auto" w:fill="000080"/>
    </w:pPr>
    <w:rPr>
      <w:rFonts w:ascii="Tahoma" w:hAnsi="Tahoma" w:cs="Tahoma"/>
      <w:sz w:val="20"/>
    </w:rPr>
  </w:style>
  <w:style w:type="paragraph" w:styleId="Notedebasdepage">
    <w:name w:val="footnote text"/>
    <w:basedOn w:val="Normal"/>
    <w:rPr>
      <w:sz w:val="20"/>
    </w:rPr>
  </w:style>
  <w:style w:type="paragraph" w:customStyle="1" w:styleId="Char1CharCharCar2">
    <w:name w:val="Char1 Char Char Car2"/>
    <w:basedOn w:val="Normal"/>
    <w:pPr>
      <w:spacing w:before="0" w:after="160" w:line="240" w:lineRule="exact"/>
    </w:pPr>
    <w:rPr>
      <w:lang w:val="en-US"/>
    </w:rPr>
  </w:style>
  <w:style w:type="paragraph" w:customStyle="1" w:styleId="CharChar2">
    <w:name w:val="Char Char2"/>
    <w:basedOn w:val="Normal"/>
    <w:pPr>
      <w:keepLines/>
    </w:pPr>
    <w:rPr>
      <w:lang w:val="en-US"/>
    </w:rPr>
  </w:style>
  <w:style w:type="paragraph" w:customStyle="1" w:styleId="Titreniveau1CarCarCarCar">
    <w:name w:val="Titre niveau 1 Car Car Car Car"/>
    <w:basedOn w:val="Normal"/>
    <w:pPr>
      <w:spacing w:before="0" w:after="80" w:line="100" w:lineRule="atLeast"/>
    </w:pPr>
    <w:rPr>
      <w:lang w:val="en-US"/>
    </w:rPr>
  </w:style>
  <w:style w:type="paragraph" w:customStyle="1" w:styleId="Char">
    <w:name w:val="Char"/>
    <w:basedOn w:val="Normal"/>
    <w:pPr>
      <w:spacing w:before="0" w:after="160" w:line="240" w:lineRule="exact"/>
    </w:pPr>
    <w:rPr>
      <w:lang w:val="en-US"/>
    </w:rPr>
  </w:style>
  <w:style w:type="paragraph" w:customStyle="1" w:styleId="CharChar1CarCarCharCharCarCarCharCharCarCarCharChar">
    <w:name w:val="Char Char1 Car Car Char Char Car Car Char Char Car Car Char Char"/>
    <w:basedOn w:val="Normal"/>
    <w:pPr>
      <w:keepLines/>
    </w:pPr>
    <w:rPr>
      <w:lang w:val="en-US"/>
    </w:rPr>
  </w:style>
  <w:style w:type="paragraph" w:customStyle="1" w:styleId="Rvision1">
    <w:name w:val="Révision1"/>
    <w:pPr>
      <w:suppressAutoHyphens/>
    </w:pPr>
    <w:rPr>
      <w:rFonts w:eastAsia="Arial" w:cs="CG Times (W1)"/>
      <w:sz w:val="24"/>
      <w:lang w:eastAsia="zh-CN"/>
    </w:rPr>
  </w:style>
  <w:style w:type="paragraph" w:customStyle="1" w:styleId="Char1CharCharCharCharCarCarCharChar">
    <w:name w:val="Char1 Char Char Char Char Car Car Char Char"/>
    <w:basedOn w:val="Normal"/>
    <w:pPr>
      <w:keepLines/>
    </w:pPr>
    <w:rPr>
      <w:lang w:val="en-US"/>
    </w:rPr>
  </w:style>
  <w:style w:type="paragraph" w:customStyle="1" w:styleId="Char1CharCharCharChar">
    <w:name w:val="Char1 Char Char Char Char"/>
    <w:basedOn w:val="Normal"/>
    <w:pPr>
      <w:keepLines/>
    </w:pPr>
    <w:rPr>
      <w:lang w:val="en-US"/>
    </w:rPr>
  </w:style>
  <w:style w:type="paragraph" w:customStyle="1" w:styleId="onpcorpsdetexte0">
    <w:name w:val="onpcorpsdetexte"/>
    <w:basedOn w:val="Normal"/>
    <w:rPr>
      <w:szCs w:val="24"/>
    </w:rPr>
  </w:style>
  <w:style w:type="paragraph" w:customStyle="1" w:styleId="onptitre40">
    <w:name w:val="onptitre4"/>
    <w:basedOn w:val="Normal"/>
    <w:pPr>
      <w:keepNext/>
      <w:tabs>
        <w:tab w:val="num" w:pos="644"/>
      </w:tabs>
      <w:spacing w:before="260" w:line="240" w:lineRule="atLeast"/>
      <w:ind w:left="644" w:hanging="360"/>
    </w:pPr>
    <w:rPr>
      <w:i/>
      <w:iCs/>
      <w:szCs w:val="24"/>
    </w:rPr>
  </w:style>
  <w:style w:type="paragraph" w:styleId="Rvision">
    <w:name w:val="Revision"/>
    <w:pPr>
      <w:suppressAutoHyphens/>
    </w:pPr>
    <w:rPr>
      <w:rFonts w:eastAsia="Arial" w:cs="CG Times (W1)"/>
      <w:sz w:val="24"/>
      <w:lang w:eastAsia="zh-CN"/>
    </w:rPr>
  </w:style>
  <w:style w:type="paragraph" w:customStyle="1" w:styleId="Puce">
    <w:name w:val="Puce_"/>
    <w:basedOn w:val="Normal"/>
    <w:pPr>
      <w:numPr>
        <w:numId w:val="7"/>
      </w:numPr>
      <w:spacing w:line="100" w:lineRule="atLeast"/>
    </w:pPr>
    <w:rPr>
      <w:rFonts w:ascii="Arial" w:hAnsi="Arial" w:cs="Arial"/>
      <w:sz w:val="22"/>
      <w:szCs w:val="24"/>
    </w:rPr>
  </w:style>
  <w:style w:type="paragraph" w:customStyle="1" w:styleId="Field">
    <w:name w:val="Field"/>
    <w:basedOn w:val="Puce"/>
    <w:rPr>
      <w:b/>
      <w:w w:val="80"/>
    </w:rPr>
  </w:style>
  <w:style w:type="paragraph" w:customStyle="1" w:styleId="Tableau">
    <w:name w:val="Tableau"/>
    <w:basedOn w:val="Normal"/>
    <w:pPr>
      <w:spacing w:line="100" w:lineRule="atLeast"/>
    </w:pPr>
    <w:rPr>
      <w:rFonts w:ascii="Arial Narrow" w:hAnsi="Arial Narrow" w:cs="Arial"/>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customStyle="1" w:styleId="Tabledesmatiresniveau10">
    <w:name w:val="Table des matières niveau 10"/>
    <w:basedOn w:val="Index"/>
    <w:pPr>
      <w:tabs>
        <w:tab w:val="right" w:leader="dot" w:pos="7091"/>
      </w:tabs>
      <w:ind w:left="2547"/>
    </w:pPr>
  </w:style>
  <w:style w:type="paragraph" w:styleId="Listepuces">
    <w:name w:val="List Bullet"/>
    <w:basedOn w:val="Normal"/>
    <w:autoRedefine/>
    <w:pPr>
      <w:keepNext/>
      <w:tabs>
        <w:tab w:val="left" w:pos="0"/>
      </w:tabs>
      <w:suppressAutoHyphens w:val="0"/>
      <w:spacing w:line="240" w:lineRule="auto"/>
    </w:pPr>
    <w:rPr>
      <w:rFonts w:ascii="Arial" w:hAnsi="Arial" w:cs="Arial"/>
      <w:sz w:val="20"/>
      <w:szCs w:val="24"/>
      <w:lang w:eastAsia="fr-FR"/>
    </w:rPr>
  </w:style>
  <w:style w:type="table" w:styleId="Grilledutableau">
    <w:name w:val="Table Grid"/>
    <w:aliases w:val="Bordure"/>
    <w:basedOn w:val="TableauNormal"/>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uppressAutoHyphens w:val="0"/>
      <w:spacing w:before="100" w:beforeAutospacing="1" w:after="100" w:afterAutospacing="1" w:line="240" w:lineRule="auto"/>
    </w:pPr>
    <w:rPr>
      <w:rFonts w:cs="Times New Roman"/>
      <w:szCs w:val="24"/>
      <w:lang w:eastAsia="ko-KR"/>
    </w:rPr>
  </w:style>
  <w:style w:type="paragraph" w:styleId="Commentaire">
    <w:name w:val="annotation text"/>
    <w:basedOn w:val="Normal"/>
    <w:link w:val="CommentaireCar"/>
    <w:pPr>
      <w:suppressAutoHyphens w:val="0"/>
      <w:spacing w:before="0" w:line="240" w:lineRule="auto"/>
    </w:pPr>
    <w:rPr>
      <w:rFonts w:ascii="Arial" w:hAnsi="Arial" w:cs="Times New Roman"/>
      <w:sz w:val="20"/>
    </w:rPr>
  </w:style>
  <w:style w:type="character" w:customStyle="1" w:styleId="CommentaireCar">
    <w:name w:val="Commentaire Car"/>
    <w:link w:val="Commentaire"/>
    <w:rPr>
      <w:rFonts w:ascii="Arial" w:hAnsi="Arial"/>
    </w:rPr>
  </w:style>
  <w:style w:type="character" w:styleId="Marquedecommentaire">
    <w:name w:val="annotation reference"/>
    <w:rPr>
      <w:sz w:val="16"/>
      <w:szCs w:val="16"/>
    </w:rPr>
  </w:style>
  <w:style w:type="paragraph" w:customStyle="1" w:styleId="TITRE0">
    <w:name w:val="TITRE 0"/>
    <w:basedOn w:val="Titre1"/>
    <w:pPr>
      <w:keepLines w:val="0"/>
      <w:pBdr>
        <w:top w:val="single" w:sz="12" w:space="1" w:color="365F91"/>
        <w:bottom w:val="single" w:sz="12" w:space="1" w:color="365F91"/>
      </w:pBdr>
      <w:shd w:val="clear" w:color="auto" w:fill="FFFFFF"/>
      <w:tabs>
        <w:tab w:val="clear" w:pos="567"/>
      </w:tabs>
      <w:suppressAutoHyphens w:val="0"/>
      <w:spacing w:before="360" w:after="600" w:line="240" w:lineRule="auto"/>
      <w:jc w:val="center"/>
    </w:pPr>
    <w:rPr>
      <w:rFonts w:ascii="Arial" w:hAnsi="Arial"/>
      <w:bCs/>
      <w:kern w:val="32"/>
      <w:sz w:val="36"/>
      <w:szCs w:val="32"/>
      <w:lang w:eastAsia="fr-FR"/>
    </w:rPr>
  </w:style>
  <w:style w:type="character" w:customStyle="1" w:styleId="En-tteCar">
    <w:name w:val="En-tête Car"/>
    <w:aliases w:val="En-tête1 Car,E.e Car,E Car,En-tête11 Car,E.e1 Car,E1 Car,En-tête-1 Car,En-tête-2 Car"/>
    <w:link w:val="En-tte"/>
    <w:uiPriority w:val="99"/>
    <w:rPr>
      <w:rFonts w:cs="CG Times (W1)"/>
      <w:sz w:val="24"/>
      <w:lang w:eastAsia="zh-CN"/>
    </w:rPr>
  </w:style>
  <w:style w:type="character" w:customStyle="1" w:styleId="PieddepageCar">
    <w:name w:val="Pied de page Car"/>
    <w:link w:val="Pieddepage"/>
    <w:uiPriority w:val="99"/>
    <w:rPr>
      <w:rFonts w:cs="CG Times (W1)"/>
      <w:sz w:val="24"/>
      <w:lang w:eastAsia="zh-CN"/>
    </w:rPr>
  </w:style>
  <w:style w:type="character" w:styleId="Numrodepage">
    <w:name w:val="page number"/>
    <w:basedOn w:val="Policepardfaut"/>
  </w:style>
  <w:style w:type="paragraph" w:styleId="Paragraphedeliste">
    <w:name w:val="List Paragraph"/>
    <w:basedOn w:val="Normal"/>
    <w:uiPriority w:val="34"/>
    <w:qFormat/>
    <w:pPr>
      <w:ind w:left="708"/>
    </w:pPr>
  </w:style>
  <w:style w:type="paragraph" w:styleId="Citation">
    <w:name w:val="Quote"/>
    <w:basedOn w:val="Normal"/>
    <w:next w:val="Normal"/>
    <w:link w:val="CitationCar"/>
    <w:uiPriority w:val="29"/>
    <w:rPr>
      <w:rFonts w:cs="Times New Roman"/>
      <w:i/>
      <w:iCs/>
      <w:color w:val="000000"/>
    </w:rPr>
  </w:style>
  <w:style w:type="character" w:customStyle="1" w:styleId="CitationCar">
    <w:name w:val="Citation Car"/>
    <w:link w:val="Citation"/>
    <w:uiPriority w:val="29"/>
    <w:rPr>
      <w:rFonts w:cs="CG Times (W1)"/>
      <w:i/>
      <w:iCs/>
      <w:color w:val="000000"/>
      <w:sz w:val="24"/>
      <w:lang w:eastAsia="zh-CN"/>
    </w:rPr>
  </w:style>
  <w:style w:type="character" w:styleId="Titredulivre">
    <w:name w:val="Book Title"/>
    <w:uiPriority w:val="33"/>
    <w:rPr>
      <w:b/>
      <w:bCs/>
      <w:smallCaps/>
      <w:spacing w:val="5"/>
    </w:rPr>
  </w:style>
  <w:style w:type="character" w:styleId="Rfrenceintense">
    <w:name w:val="Intense Reference"/>
    <w:uiPriority w:val="32"/>
    <w:rPr>
      <w:b/>
      <w:bCs/>
      <w:smallCaps/>
      <w:color w:val="C0504D"/>
      <w:spacing w:val="5"/>
      <w:u w:val="single"/>
    </w:rPr>
  </w:style>
  <w:style w:type="character" w:styleId="lev">
    <w:name w:val="Strong"/>
    <w:uiPriority w:val="22"/>
    <w:rPr>
      <w:b/>
      <w:bCs/>
    </w:rPr>
  </w:style>
  <w:style w:type="paragraph" w:styleId="Titre">
    <w:name w:val="Title"/>
    <w:basedOn w:val="Normal"/>
    <w:next w:val="Normal"/>
    <w:link w:val="TitreCar"/>
    <w:uiPriority w:val="10"/>
    <w:pPr>
      <w:spacing w:before="240" w:after="60"/>
      <w:jc w:val="center"/>
      <w:outlineLvl w:val="0"/>
    </w:pPr>
    <w:rPr>
      <w:rFonts w:ascii="Cambria" w:hAnsi="Cambria" w:cs="Times New Roman"/>
      <w:b/>
      <w:bCs/>
      <w:kern w:val="28"/>
      <w:sz w:val="32"/>
      <w:szCs w:val="32"/>
    </w:rPr>
  </w:style>
  <w:style w:type="character" w:customStyle="1" w:styleId="TitreCar">
    <w:name w:val="Titre Car"/>
    <w:link w:val="Titre"/>
    <w:uiPriority w:val="10"/>
    <w:rPr>
      <w:rFonts w:ascii="Cambria" w:eastAsia="Times New Roman" w:hAnsi="Cambria" w:cs="Times New Roman"/>
      <w:b/>
      <w:bCs/>
      <w:kern w:val="28"/>
      <w:sz w:val="32"/>
      <w:szCs w:val="32"/>
      <w:lang w:eastAsia="zh-CN"/>
    </w:rPr>
  </w:style>
  <w:style w:type="paragraph" w:styleId="Sansinterligne">
    <w:name w:val="No Spacing"/>
    <w:uiPriority w:val="1"/>
    <w:pPr>
      <w:suppressAutoHyphens/>
      <w:ind w:left="794"/>
      <w:jc w:val="both"/>
    </w:pPr>
    <w:rPr>
      <w:rFonts w:cs="CG Times (W1)"/>
      <w:sz w:val="24"/>
      <w:lang w:eastAsia="zh-CN"/>
    </w:rPr>
  </w:style>
  <w:style w:type="paragraph" w:customStyle="1" w:styleId="Titre30">
    <w:name w:val="Titre 3_"/>
    <w:basedOn w:val="Titre3"/>
    <w:link w:val="Titre3Car0"/>
    <w:qFormat/>
    <w:pPr>
      <w:ind w:hanging="851"/>
    </w:pPr>
  </w:style>
  <w:style w:type="paragraph" w:styleId="Listepuces4">
    <w:name w:val="List Bullet 4"/>
    <w:basedOn w:val="Normal"/>
    <w:uiPriority w:val="99"/>
    <w:unhideWhenUsed/>
    <w:pPr>
      <w:numPr>
        <w:numId w:val="93"/>
      </w:numPr>
      <w:contextualSpacing/>
    </w:pPr>
  </w:style>
  <w:style w:type="character" w:customStyle="1" w:styleId="Titre1Car1">
    <w:name w:val="Titre 1 Car1"/>
    <w:aliases w:val="Titre 1__ Car,chapitre Car,Titre 11 Car,t1.T1.Titre 1 Car,t1 Car,Contrat 1 Car,t1.T1 Car,Ct. Car,Heading1_Titre1 Car,H11 Car,H12 Car,H111 Car,Titre 1 SQ Car,Titre 1 jbl Car,SousTitre Car,Aston T1 Car,DO NOT USE_h1 Car,h1 Car,l1 Car,1 Car"/>
    <w:link w:val="Titre1"/>
    <w:rPr>
      <w:rFonts w:cs="Arial"/>
      <w:b/>
      <w:sz w:val="40"/>
      <w:lang w:eastAsia="zh-CN"/>
    </w:rPr>
  </w:style>
  <w:style w:type="character" w:customStyle="1" w:styleId="Titre2Car1">
    <w:name w:val="Titre 2 Car1"/>
    <w:aliases w:val="Titre 2__ Car1,paragraphe Car1,Contrat 2 Car1,Ctt Car1,H2 Car1,chapitre 1.1 Car1,PFD2 Car1,Titre 2 SQ Car1,Titre 21 Car1,t2.T2 Car1,TITRE MARG... Car1,h2 Car1,Titre 2 - RAO Car1,l2 Car1,I2 Car1,heading 2 Car1,Heading2_Titre2 Car1,H21 Car1"/>
    <w:link w:val="Titre2"/>
    <w:rPr>
      <w:b/>
      <w:sz w:val="32"/>
      <w:lang w:eastAsia="zh-CN"/>
    </w:rPr>
  </w:style>
  <w:style w:type="character" w:customStyle="1" w:styleId="Titre3Car1">
    <w:name w:val="Titre 3 Car1"/>
    <w:link w:val="Titre3"/>
    <w:rPr>
      <w:rFonts w:cs="Arial"/>
      <w:b/>
      <w:sz w:val="28"/>
    </w:rPr>
  </w:style>
  <w:style w:type="character" w:customStyle="1" w:styleId="Titre3Car0">
    <w:name w:val="Titre 3_ Car"/>
    <w:basedOn w:val="Titre3Car1"/>
    <w:link w:val="Titre30"/>
    <w:rPr>
      <w:rFonts w:cs="Arial"/>
      <w:b/>
      <w:sz w:val="28"/>
    </w:rPr>
  </w:style>
  <w:style w:type="paragraph" w:customStyle="1" w:styleId="ListeNum">
    <w:name w:val="Liste_Num"/>
    <w:basedOn w:val="Normal"/>
    <w:pPr>
      <w:numPr>
        <w:numId w:val="94"/>
      </w:numPr>
      <w:suppressAutoHyphens w:val="0"/>
      <w:spacing w:after="0" w:line="240" w:lineRule="auto"/>
    </w:pPr>
    <w:rPr>
      <w:rFonts w:ascii="Arial" w:hAnsi="Arial" w:cs="Arial"/>
      <w:sz w:val="22"/>
      <w:szCs w:val="24"/>
      <w:lang w:eastAsia="fr-FR"/>
    </w:rPr>
  </w:style>
  <w:style w:type="paragraph" w:customStyle="1" w:styleId="Rule">
    <w:name w:val="Rule"/>
    <w:basedOn w:val="Normal"/>
    <w:next w:val="Puce"/>
    <w:autoRedefine/>
    <w:pPr>
      <w:pBdr>
        <w:bottom w:val="single" w:sz="4" w:space="0" w:color="800080"/>
      </w:pBdr>
      <w:suppressAutoHyphens w:val="0"/>
      <w:spacing w:before="360" w:line="240" w:lineRule="auto"/>
    </w:pPr>
    <w:rPr>
      <w:rFonts w:ascii="Arial" w:hAnsi="Arial" w:cs="Arial"/>
      <w:szCs w:val="24"/>
      <w:lang w:eastAsia="fr-FR"/>
    </w:rPr>
  </w:style>
  <w:style w:type="paragraph" w:styleId="Listepuces2">
    <w:name w:val="List Bullet 2"/>
    <w:basedOn w:val="Normal"/>
    <w:uiPriority w:val="99"/>
    <w:unhideWhenUsed/>
    <w:pPr>
      <w:numPr>
        <w:numId w:val="111"/>
      </w:numPr>
      <w:contextualSpacing/>
    </w:pPr>
  </w:style>
  <w:style w:type="paragraph" w:customStyle="1" w:styleId="Car">
    <w:name w:val="Car"/>
    <w:basedOn w:val="Normal"/>
    <w:pPr>
      <w:suppressAutoHyphens w:val="0"/>
      <w:spacing w:before="0" w:after="160" w:line="240" w:lineRule="exact"/>
      <w:ind w:left="539" w:firstLine="578"/>
    </w:pPr>
    <w:rPr>
      <w:rFonts w:ascii="Verdana" w:hAnsi="Verdana" w:cs="Times New Roman"/>
      <w:sz w:val="20"/>
      <w:lang w:val="en-US" w:eastAsia="en-US"/>
    </w:rPr>
  </w:style>
  <w:style w:type="paragraph" w:styleId="Notedefin">
    <w:name w:val="endnote text"/>
    <w:basedOn w:val="Normal"/>
    <w:link w:val="NotedefinCar"/>
    <w:uiPriority w:val="99"/>
    <w:semiHidden/>
    <w:unhideWhenUsed/>
    <w:rPr>
      <w:rFonts w:cs="Times New Roman"/>
      <w:sz w:val="20"/>
    </w:rPr>
  </w:style>
  <w:style w:type="character" w:customStyle="1" w:styleId="NotedefinCar">
    <w:name w:val="Note de fin Car"/>
    <w:link w:val="Notedefin"/>
    <w:uiPriority w:val="99"/>
    <w:semiHidden/>
    <w:rPr>
      <w:rFonts w:cs="CG Times (W1)"/>
      <w:lang w:eastAsia="zh-CN"/>
    </w:rPr>
  </w:style>
  <w:style w:type="paragraph" w:styleId="Explorateurdedocuments">
    <w:name w:val="Document Map"/>
    <w:basedOn w:val="Normal"/>
    <w:link w:val="ExplorateurdedocumentsCar"/>
    <w:uiPriority w:val="99"/>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eastAsia="zh-CN"/>
    </w:rPr>
  </w:style>
  <w:style w:type="paragraph" w:styleId="Textebrut">
    <w:name w:val="Plain Text"/>
    <w:basedOn w:val="Normal"/>
    <w:link w:val="TextebrutCar"/>
    <w:uiPriority w:val="99"/>
    <w:unhideWhenUsed/>
    <w:pPr>
      <w:suppressAutoHyphens w:val="0"/>
      <w:spacing w:before="0" w:after="0" w:line="240" w:lineRule="auto"/>
    </w:pPr>
    <w:rPr>
      <w:rFonts w:ascii="Consolas" w:eastAsia="Calibri" w:hAnsi="Consolas" w:cs="Times New Roman"/>
      <w:sz w:val="21"/>
      <w:szCs w:val="21"/>
      <w:lang w:eastAsia="en-US"/>
    </w:rPr>
  </w:style>
  <w:style w:type="character" w:customStyle="1" w:styleId="TextebrutCar">
    <w:name w:val="Texte brut Car"/>
    <w:basedOn w:val="Policepardfaut"/>
    <w:link w:val="Textebrut"/>
    <w:uiPriority w:val="99"/>
    <w:rPr>
      <w:rFonts w:ascii="Consolas" w:eastAsia="Calibri" w:hAnsi="Consolas"/>
      <w:sz w:val="21"/>
      <w:szCs w:val="21"/>
      <w:lang w:eastAsia="en-US"/>
    </w:rPr>
  </w:style>
  <w:style w:type="character" w:customStyle="1" w:styleId="tx1">
    <w:name w:val="tx1"/>
    <w:basedOn w:val="Policepardfaut"/>
    <w:rPr>
      <w:b/>
      <w:bCs/>
    </w:rPr>
  </w:style>
  <w:style w:type="character" w:styleId="CodeHTML">
    <w:name w:val="HTML Code"/>
    <w:basedOn w:val="Policepardfaut"/>
    <w:uiPriority w:val="99"/>
    <w:semiHidden/>
    <w:unhideWhenUs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910">
      <w:bodyDiv w:val="1"/>
      <w:marLeft w:val="0"/>
      <w:marRight w:val="0"/>
      <w:marTop w:val="0"/>
      <w:marBottom w:val="0"/>
      <w:divBdr>
        <w:top w:val="none" w:sz="0" w:space="0" w:color="auto"/>
        <w:left w:val="none" w:sz="0" w:space="0" w:color="auto"/>
        <w:bottom w:val="none" w:sz="0" w:space="0" w:color="auto"/>
        <w:right w:val="none" w:sz="0" w:space="0" w:color="auto"/>
      </w:divBdr>
      <w:divsChild>
        <w:div w:id="668757706">
          <w:marLeft w:val="432"/>
          <w:marRight w:val="0"/>
          <w:marTop w:val="60"/>
          <w:marBottom w:val="60"/>
          <w:divBdr>
            <w:top w:val="none" w:sz="0" w:space="0" w:color="auto"/>
            <w:left w:val="none" w:sz="0" w:space="0" w:color="auto"/>
            <w:bottom w:val="none" w:sz="0" w:space="0" w:color="auto"/>
            <w:right w:val="none" w:sz="0" w:space="0" w:color="auto"/>
          </w:divBdr>
        </w:div>
        <w:div w:id="2029411031">
          <w:marLeft w:val="432"/>
          <w:marRight w:val="0"/>
          <w:marTop w:val="60"/>
          <w:marBottom w:val="60"/>
          <w:divBdr>
            <w:top w:val="none" w:sz="0" w:space="0" w:color="auto"/>
            <w:left w:val="none" w:sz="0" w:space="0" w:color="auto"/>
            <w:bottom w:val="none" w:sz="0" w:space="0" w:color="auto"/>
            <w:right w:val="none" w:sz="0" w:space="0" w:color="auto"/>
          </w:divBdr>
        </w:div>
        <w:div w:id="2135438967">
          <w:marLeft w:val="432"/>
          <w:marRight w:val="0"/>
          <w:marTop w:val="60"/>
          <w:marBottom w:val="60"/>
          <w:divBdr>
            <w:top w:val="none" w:sz="0" w:space="0" w:color="auto"/>
            <w:left w:val="none" w:sz="0" w:space="0" w:color="auto"/>
            <w:bottom w:val="none" w:sz="0" w:space="0" w:color="auto"/>
            <w:right w:val="none" w:sz="0" w:space="0" w:color="auto"/>
          </w:divBdr>
        </w:div>
      </w:divsChild>
    </w:div>
    <w:div w:id="57293517">
      <w:bodyDiv w:val="1"/>
      <w:marLeft w:val="0"/>
      <w:marRight w:val="0"/>
      <w:marTop w:val="0"/>
      <w:marBottom w:val="0"/>
      <w:divBdr>
        <w:top w:val="none" w:sz="0" w:space="0" w:color="auto"/>
        <w:left w:val="none" w:sz="0" w:space="0" w:color="auto"/>
        <w:bottom w:val="none" w:sz="0" w:space="0" w:color="auto"/>
        <w:right w:val="none" w:sz="0" w:space="0" w:color="auto"/>
      </w:divBdr>
    </w:div>
    <w:div w:id="60910923">
      <w:bodyDiv w:val="1"/>
      <w:marLeft w:val="0"/>
      <w:marRight w:val="0"/>
      <w:marTop w:val="0"/>
      <w:marBottom w:val="0"/>
      <w:divBdr>
        <w:top w:val="none" w:sz="0" w:space="0" w:color="auto"/>
        <w:left w:val="none" w:sz="0" w:space="0" w:color="auto"/>
        <w:bottom w:val="none" w:sz="0" w:space="0" w:color="auto"/>
        <w:right w:val="none" w:sz="0" w:space="0" w:color="auto"/>
      </w:divBdr>
    </w:div>
    <w:div w:id="66537104">
      <w:bodyDiv w:val="1"/>
      <w:marLeft w:val="0"/>
      <w:marRight w:val="0"/>
      <w:marTop w:val="0"/>
      <w:marBottom w:val="0"/>
      <w:divBdr>
        <w:top w:val="none" w:sz="0" w:space="0" w:color="auto"/>
        <w:left w:val="none" w:sz="0" w:space="0" w:color="auto"/>
        <w:bottom w:val="none" w:sz="0" w:space="0" w:color="auto"/>
        <w:right w:val="none" w:sz="0" w:space="0" w:color="auto"/>
      </w:divBdr>
    </w:div>
    <w:div w:id="366612420">
      <w:bodyDiv w:val="1"/>
      <w:marLeft w:val="0"/>
      <w:marRight w:val="0"/>
      <w:marTop w:val="0"/>
      <w:marBottom w:val="0"/>
      <w:divBdr>
        <w:top w:val="none" w:sz="0" w:space="0" w:color="auto"/>
        <w:left w:val="none" w:sz="0" w:space="0" w:color="auto"/>
        <w:bottom w:val="none" w:sz="0" w:space="0" w:color="auto"/>
        <w:right w:val="none" w:sz="0" w:space="0" w:color="auto"/>
      </w:divBdr>
      <w:divsChild>
        <w:div w:id="1199927846">
          <w:marLeft w:val="562"/>
          <w:marRight w:val="0"/>
          <w:marTop w:val="0"/>
          <w:marBottom w:val="0"/>
          <w:divBdr>
            <w:top w:val="none" w:sz="0" w:space="0" w:color="auto"/>
            <w:left w:val="none" w:sz="0" w:space="0" w:color="auto"/>
            <w:bottom w:val="none" w:sz="0" w:space="0" w:color="auto"/>
            <w:right w:val="none" w:sz="0" w:space="0" w:color="auto"/>
          </w:divBdr>
        </w:div>
        <w:div w:id="1512989143">
          <w:marLeft w:val="562"/>
          <w:marRight w:val="0"/>
          <w:marTop w:val="0"/>
          <w:marBottom w:val="0"/>
          <w:divBdr>
            <w:top w:val="none" w:sz="0" w:space="0" w:color="auto"/>
            <w:left w:val="none" w:sz="0" w:space="0" w:color="auto"/>
            <w:bottom w:val="none" w:sz="0" w:space="0" w:color="auto"/>
            <w:right w:val="none" w:sz="0" w:space="0" w:color="auto"/>
          </w:divBdr>
        </w:div>
        <w:div w:id="1811627427">
          <w:marLeft w:val="562"/>
          <w:marRight w:val="0"/>
          <w:marTop w:val="0"/>
          <w:marBottom w:val="0"/>
          <w:divBdr>
            <w:top w:val="none" w:sz="0" w:space="0" w:color="auto"/>
            <w:left w:val="none" w:sz="0" w:space="0" w:color="auto"/>
            <w:bottom w:val="none" w:sz="0" w:space="0" w:color="auto"/>
            <w:right w:val="none" w:sz="0" w:space="0" w:color="auto"/>
          </w:divBdr>
        </w:div>
      </w:divsChild>
    </w:div>
    <w:div w:id="554507930">
      <w:bodyDiv w:val="1"/>
      <w:marLeft w:val="0"/>
      <w:marRight w:val="0"/>
      <w:marTop w:val="0"/>
      <w:marBottom w:val="0"/>
      <w:divBdr>
        <w:top w:val="none" w:sz="0" w:space="0" w:color="auto"/>
        <w:left w:val="none" w:sz="0" w:space="0" w:color="auto"/>
        <w:bottom w:val="none" w:sz="0" w:space="0" w:color="auto"/>
        <w:right w:val="none" w:sz="0" w:space="0" w:color="auto"/>
      </w:divBdr>
    </w:div>
    <w:div w:id="572935439">
      <w:bodyDiv w:val="1"/>
      <w:marLeft w:val="0"/>
      <w:marRight w:val="0"/>
      <w:marTop w:val="0"/>
      <w:marBottom w:val="0"/>
      <w:divBdr>
        <w:top w:val="none" w:sz="0" w:space="0" w:color="auto"/>
        <w:left w:val="none" w:sz="0" w:space="0" w:color="auto"/>
        <w:bottom w:val="none" w:sz="0" w:space="0" w:color="auto"/>
        <w:right w:val="none" w:sz="0" w:space="0" w:color="auto"/>
      </w:divBdr>
      <w:divsChild>
        <w:div w:id="291180579">
          <w:marLeft w:val="0"/>
          <w:marRight w:val="0"/>
          <w:marTop w:val="0"/>
          <w:marBottom w:val="0"/>
          <w:divBdr>
            <w:top w:val="none" w:sz="0" w:space="0" w:color="auto"/>
            <w:left w:val="none" w:sz="0" w:space="0" w:color="auto"/>
            <w:bottom w:val="none" w:sz="0" w:space="0" w:color="auto"/>
            <w:right w:val="none" w:sz="0" w:space="0" w:color="auto"/>
          </w:divBdr>
          <w:divsChild>
            <w:div w:id="181019461">
              <w:marLeft w:val="0"/>
              <w:marRight w:val="0"/>
              <w:marTop w:val="0"/>
              <w:marBottom w:val="0"/>
              <w:divBdr>
                <w:top w:val="none" w:sz="0" w:space="0" w:color="auto"/>
                <w:left w:val="none" w:sz="0" w:space="0" w:color="auto"/>
                <w:bottom w:val="none" w:sz="0" w:space="0" w:color="auto"/>
                <w:right w:val="none" w:sz="0" w:space="0" w:color="auto"/>
              </w:divBdr>
              <w:divsChild>
                <w:div w:id="12121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569">
      <w:bodyDiv w:val="1"/>
      <w:marLeft w:val="0"/>
      <w:marRight w:val="0"/>
      <w:marTop w:val="0"/>
      <w:marBottom w:val="0"/>
      <w:divBdr>
        <w:top w:val="none" w:sz="0" w:space="0" w:color="auto"/>
        <w:left w:val="none" w:sz="0" w:space="0" w:color="auto"/>
        <w:bottom w:val="none" w:sz="0" w:space="0" w:color="auto"/>
        <w:right w:val="none" w:sz="0" w:space="0" w:color="auto"/>
      </w:divBdr>
      <w:divsChild>
        <w:div w:id="2042121029">
          <w:marLeft w:val="0"/>
          <w:marRight w:val="0"/>
          <w:marTop w:val="0"/>
          <w:marBottom w:val="0"/>
          <w:divBdr>
            <w:top w:val="none" w:sz="0" w:space="0" w:color="auto"/>
            <w:left w:val="none" w:sz="0" w:space="0" w:color="auto"/>
            <w:bottom w:val="none" w:sz="0" w:space="0" w:color="auto"/>
            <w:right w:val="none" w:sz="0" w:space="0" w:color="auto"/>
          </w:divBdr>
          <w:divsChild>
            <w:div w:id="344862296">
              <w:marLeft w:val="0"/>
              <w:marRight w:val="0"/>
              <w:marTop w:val="0"/>
              <w:marBottom w:val="0"/>
              <w:divBdr>
                <w:top w:val="none" w:sz="0" w:space="0" w:color="auto"/>
                <w:left w:val="none" w:sz="0" w:space="0" w:color="auto"/>
                <w:bottom w:val="none" w:sz="0" w:space="0" w:color="auto"/>
                <w:right w:val="none" w:sz="0" w:space="0" w:color="auto"/>
              </w:divBdr>
              <w:divsChild>
                <w:div w:id="905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38957">
      <w:bodyDiv w:val="1"/>
      <w:marLeft w:val="0"/>
      <w:marRight w:val="0"/>
      <w:marTop w:val="0"/>
      <w:marBottom w:val="0"/>
      <w:divBdr>
        <w:top w:val="none" w:sz="0" w:space="0" w:color="auto"/>
        <w:left w:val="none" w:sz="0" w:space="0" w:color="auto"/>
        <w:bottom w:val="none" w:sz="0" w:space="0" w:color="auto"/>
        <w:right w:val="none" w:sz="0" w:space="0" w:color="auto"/>
      </w:divBdr>
    </w:div>
    <w:div w:id="902982424">
      <w:bodyDiv w:val="1"/>
      <w:marLeft w:val="0"/>
      <w:marRight w:val="0"/>
      <w:marTop w:val="0"/>
      <w:marBottom w:val="0"/>
      <w:divBdr>
        <w:top w:val="none" w:sz="0" w:space="0" w:color="auto"/>
        <w:left w:val="none" w:sz="0" w:space="0" w:color="auto"/>
        <w:bottom w:val="none" w:sz="0" w:space="0" w:color="auto"/>
        <w:right w:val="none" w:sz="0" w:space="0" w:color="auto"/>
      </w:divBdr>
    </w:div>
    <w:div w:id="928269628">
      <w:bodyDiv w:val="1"/>
      <w:marLeft w:val="0"/>
      <w:marRight w:val="0"/>
      <w:marTop w:val="0"/>
      <w:marBottom w:val="0"/>
      <w:divBdr>
        <w:top w:val="none" w:sz="0" w:space="0" w:color="auto"/>
        <w:left w:val="none" w:sz="0" w:space="0" w:color="auto"/>
        <w:bottom w:val="none" w:sz="0" w:space="0" w:color="auto"/>
        <w:right w:val="none" w:sz="0" w:space="0" w:color="auto"/>
      </w:divBdr>
    </w:div>
    <w:div w:id="942960768">
      <w:bodyDiv w:val="1"/>
      <w:marLeft w:val="0"/>
      <w:marRight w:val="0"/>
      <w:marTop w:val="0"/>
      <w:marBottom w:val="0"/>
      <w:divBdr>
        <w:top w:val="none" w:sz="0" w:space="0" w:color="auto"/>
        <w:left w:val="none" w:sz="0" w:space="0" w:color="auto"/>
        <w:bottom w:val="none" w:sz="0" w:space="0" w:color="auto"/>
        <w:right w:val="none" w:sz="0" w:space="0" w:color="auto"/>
      </w:divBdr>
      <w:divsChild>
        <w:div w:id="941693275">
          <w:marLeft w:val="0"/>
          <w:marRight w:val="0"/>
          <w:marTop w:val="0"/>
          <w:marBottom w:val="0"/>
          <w:divBdr>
            <w:top w:val="none" w:sz="0" w:space="0" w:color="auto"/>
            <w:left w:val="none" w:sz="0" w:space="0" w:color="auto"/>
            <w:bottom w:val="none" w:sz="0" w:space="0" w:color="auto"/>
            <w:right w:val="none" w:sz="0" w:space="0" w:color="auto"/>
          </w:divBdr>
          <w:divsChild>
            <w:div w:id="747920105">
              <w:marLeft w:val="0"/>
              <w:marRight w:val="0"/>
              <w:marTop w:val="0"/>
              <w:marBottom w:val="0"/>
              <w:divBdr>
                <w:top w:val="none" w:sz="0" w:space="0" w:color="auto"/>
                <w:left w:val="none" w:sz="0" w:space="0" w:color="auto"/>
                <w:bottom w:val="none" w:sz="0" w:space="0" w:color="auto"/>
                <w:right w:val="none" w:sz="0" w:space="0" w:color="auto"/>
              </w:divBdr>
              <w:divsChild>
                <w:div w:id="1796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1784">
      <w:bodyDiv w:val="1"/>
      <w:marLeft w:val="0"/>
      <w:marRight w:val="0"/>
      <w:marTop w:val="0"/>
      <w:marBottom w:val="0"/>
      <w:divBdr>
        <w:top w:val="none" w:sz="0" w:space="0" w:color="auto"/>
        <w:left w:val="none" w:sz="0" w:space="0" w:color="auto"/>
        <w:bottom w:val="none" w:sz="0" w:space="0" w:color="auto"/>
        <w:right w:val="none" w:sz="0" w:space="0" w:color="auto"/>
      </w:divBdr>
      <w:divsChild>
        <w:div w:id="601455049">
          <w:marLeft w:val="1166"/>
          <w:marRight w:val="0"/>
          <w:marTop w:val="40"/>
          <w:marBottom w:val="40"/>
          <w:divBdr>
            <w:top w:val="none" w:sz="0" w:space="0" w:color="auto"/>
            <w:left w:val="none" w:sz="0" w:space="0" w:color="auto"/>
            <w:bottom w:val="none" w:sz="0" w:space="0" w:color="auto"/>
            <w:right w:val="none" w:sz="0" w:space="0" w:color="auto"/>
          </w:divBdr>
        </w:div>
        <w:div w:id="719480266">
          <w:marLeft w:val="547"/>
          <w:marRight w:val="0"/>
          <w:marTop w:val="40"/>
          <w:marBottom w:val="40"/>
          <w:divBdr>
            <w:top w:val="none" w:sz="0" w:space="0" w:color="auto"/>
            <w:left w:val="none" w:sz="0" w:space="0" w:color="auto"/>
            <w:bottom w:val="none" w:sz="0" w:space="0" w:color="auto"/>
            <w:right w:val="none" w:sz="0" w:space="0" w:color="auto"/>
          </w:divBdr>
        </w:div>
        <w:div w:id="1804156099">
          <w:marLeft w:val="1166"/>
          <w:marRight w:val="0"/>
          <w:marTop w:val="40"/>
          <w:marBottom w:val="40"/>
          <w:divBdr>
            <w:top w:val="none" w:sz="0" w:space="0" w:color="auto"/>
            <w:left w:val="none" w:sz="0" w:space="0" w:color="auto"/>
            <w:bottom w:val="none" w:sz="0" w:space="0" w:color="auto"/>
            <w:right w:val="none" w:sz="0" w:space="0" w:color="auto"/>
          </w:divBdr>
        </w:div>
      </w:divsChild>
    </w:div>
    <w:div w:id="1210150566">
      <w:bodyDiv w:val="1"/>
      <w:marLeft w:val="0"/>
      <w:marRight w:val="0"/>
      <w:marTop w:val="0"/>
      <w:marBottom w:val="0"/>
      <w:divBdr>
        <w:top w:val="none" w:sz="0" w:space="0" w:color="auto"/>
        <w:left w:val="none" w:sz="0" w:space="0" w:color="auto"/>
        <w:bottom w:val="none" w:sz="0" w:space="0" w:color="auto"/>
        <w:right w:val="none" w:sz="0" w:space="0" w:color="auto"/>
      </w:divBdr>
    </w:div>
    <w:div w:id="1210729925">
      <w:bodyDiv w:val="1"/>
      <w:marLeft w:val="0"/>
      <w:marRight w:val="0"/>
      <w:marTop w:val="0"/>
      <w:marBottom w:val="0"/>
      <w:divBdr>
        <w:top w:val="none" w:sz="0" w:space="0" w:color="auto"/>
        <w:left w:val="none" w:sz="0" w:space="0" w:color="auto"/>
        <w:bottom w:val="none" w:sz="0" w:space="0" w:color="auto"/>
        <w:right w:val="none" w:sz="0" w:space="0" w:color="auto"/>
      </w:divBdr>
      <w:divsChild>
        <w:div w:id="156116353">
          <w:marLeft w:val="835"/>
          <w:marRight w:val="0"/>
          <w:marTop w:val="60"/>
          <w:marBottom w:val="60"/>
          <w:divBdr>
            <w:top w:val="none" w:sz="0" w:space="0" w:color="auto"/>
            <w:left w:val="none" w:sz="0" w:space="0" w:color="auto"/>
            <w:bottom w:val="none" w:sz="0" w:space="0" w:color="auto"/>
            <w:right w:val="none" w:sz="0" w:space="0" w:color="auto"/>
          </w:divBdr>
        </w:div>
        <w:div w:id="373190242">
          <w:marLeft w:val="835"/>
          <w:marRight w:val="0"/>
          <w:marTop w:val="60"/>
          <w:marBottom w:val="60"/>
          <w:divBdr>
            <w:top w:val="none" w:sz="0" w:space="0" w:color="auto"/>
            <w:left w:val="none" w:sz="0" w:space="0" w:color="auto"/>
            <w:bottom w:val="none" w:sz="0" w:space="0" w:color="auto"/>
            <w:right w:val="none" w:sz="0" w:space="0" w:color="auto"/>
          </w:divBdr>
        </w:div>
        <w:div w:id="508107918">
          <w:marLeft w:val="547"/>
          <w:marRight w:val="0"/>
          <w:marTop w:val="60"/>
          <w:marBottom w:val="60"/>
          <w:divBdr>
            <w:top w:val="none" w:sz="0" w:space="0" w:color="auto"/>
            <w:left w:val="none" w:sz="0" w:space="0" w:color="auto"/>
            <w:bottom w:val="none" w:sz="0" w:space="0" w:color="auto"/>
            <w:right w:val="none" w:sz="0" w:space="0" w:color="auto"/>
          </w:divBdr>
        </w:div>
        <w:div w:id="516584118">
          <w:marLeft w:val="835"/>
          <w:marRight w:val="0"/>
          <w:marTop w:val="60"/>
          <w:marBottom w:val="60"/>
          <w:divBdr>
            <w:top w:val="none" w:sz="0" w:space="0" w:color="auto"/>
            <w:left w:val="none" w:sz="0" w:space="0" w:color="auto"/>
            <w:bottom w:val="none" w:sz="0" w:space="0" w:color="auto"/>
            <w:right w:val="none" w:sz="0" w:space="0" w:color="auto"/>
          </w:divBdr>
        </w:div>
        <w:div w:id="584874228">
          <w:marLeft w:val="547"/>
          <w:marRight w:val="0"/>
          <w:marTop w:val="60"/>
          <w:marBottom w:val="120"/>
          <w:divBdr>
            <w:top w:val="none" w:sz="0" w:space="0" w:color="auto"/>
            <w:left w:val="none" w:sz="0" w:space="0" w:color="auto"/>
            <w:bottom w:val="none" w:sz="0" w:space="0" w:color="auto"/>
            <w:right w:val="none" w:sz="0" w:space="0" w:color="auto"/>
          </w:divBdr>
        </w:div>
        <w:div w:id="738865835">
          <w:marLeft w:val="547"/>
          <w:marRight w:val="0"/>
          <w:marTop w:val="60"/>
          <w:marBottom w:val="60"/>
          <w:divBdr>
            <w:top w:val="none" w:sz="0" w:space="0" w:color="auto"/>
            <w:left w:val="none" w:sz="0" w:space="0" w:color="auto"/>
            <w:bottom w:val="none" w:sz="0" w:space="0" w:color="auto"/>
            <w:right w:val="none" w:sz="0" w:space="0" w:color="auto"/>
          </w:divBdr>
        </w:div>
        <w:div w:id="1329864483">
          <w:marLeft w:val="835"/>
          <w:marRight w:val="0"/>
          <w:marTop w:val="60"/>
          <w:marBottom w:val="120"/>
          <w:divBdr>
            <w:top w:val="none" w:sz="0" w:space="0" w:color="auto"/>
            <w:left w:val="none" w:sz="0" w:space="0" w:color="auto"/>
            <w:bottom w:val="none" w:sz="0" w:space="0" w:color="auto"/>
            <w:right w:val="none" w:sz="0" w:space="0" w:color="auto"/>
          </w:divBdr>
        </w:div>
        <w:div w:id="2112974055">
          <w:marLeft w:val="835"/>
          <w:marRight w:val="0"/>
          <w:marTop w:val="60"/>
          <w:marBottom w:val="60"/>
          <w:divBdr>
            <w:top w:val="none" w:sz="0" w:space="0" w:color="auto"/>
            <w:left w:val="none" w:sz="0" w:space="0" w:color="auto"/>
            <w:bottom w:val="none" w:sz="0" w:space="0" w:color="auto"/>
            <w:right w:val="none" w:sz="0" w:space="0" w:color="auto"/>
          </w:divBdr>
        </w:div>
      </w:divsChild>
    </w:div>
    <w:div w:id="1364135523">
      <w:bodyDiv w:val="1"/>
      <w:marLeft w:val="0"/>
      <w:marRight w:val="0"/>
      <w:marTop w:val="0"/>
      <w:marBottom w:val="0"/>
      <w:divBdr>
        <w:top w:val="none" w:sz="0" w:space="0" w:color="auto"/>
        <w:left w:val="none" w:sz="0" w:space="0" w:color="auto"/>
        <w:bottom w:val="none" w:sz="0" w:space="0" w:color="auto"/>
        <w:right w:val="none" w:sz="0" w:space="0" w:color="auto"/>
      </w:divBdr>
    </w:div>
    <w:div w:id="1384938256">
      <w:bodyDiv w:val="1"/>
      <w:marLeft w:val="0"/>
      <w:marRight w:val="0"/>
      <w:marTop w:val="0"/>
      <w:marBottom w:val="0"/>
      <w:divBdr>
        <w:top w:val="none" w:sz="0" w:space="0" w:color="auto"/>
        <w:left w:val="none" w:sz="0" w:space="0" w:color="auto"/>
        <w:bottom w:val="none" w:sz="0" w:space="0" w:color="auto"/>
        <w:right w:val="none" w:sz="0" w:space="0" w:color="auto"/>
      </w:divBdr>
    </w:div>
    <w:div w:id="1453674949">
      <w:bodyDiv w:val="1"/>
      <w:marLeft w:val="0"/>
      <w:marRight w:val="0"/>
      <w:marTop w:val="0"/>
      <w:marBottom w:val="0"/>
      <w:divBdr>
        <w:top w:val="none" w:sz="0" w:space="0" w:color="auto"/>
        <w:left w:val="none" w:sz="0" w:space="0" w:color="auto"/>
        <w:bottom w:val="none" w:sz="0" w:space="0" w:color="auto"/>
        <w:right w:val="none" w:sz="0" w:space="0" w:color="auto"/>
      </w:divBdr>
    </w:div>
    <w:div w:id="1458991232">
      <w:bodyDiv w:val="1"/>
      <w:marLeft w:val="0"/>
      <w:marRight w:val="0"/>
      <w:marTop w:val="0"/>
      <w:marBottom w:val="0"/>
      <w:divBdr>
        <w:top w:val="none" w:sz="0" w:space="0" w:color="auto"/>
        <w:left w:val="none" w:sz="0" w:space="0" w:color="auto"/>
        <w:bottom w:val="none" w:sz="0" w:space="0" w:color="auto"/>
        <w:right w:val="none" w:sz="0" w:space="0" w:color="auto"/>
      </w:divBdr>
    </w:div>
    <w:div w:id="1488092264">
      <w:bodyDiv w:val="1"/>
      <w:marLeft w:val="0"/>
      <w:marRight w:val="0"/>
      <w:marTop w:val="0"/>
      <w:marBottom w:val="0"/>
      <w:divBdr>
        <w:top w:val="none" w:sz="0" w:space="0" w:color="auto"/>
        <w:left w:val="none" w:sz="0" w:space="0" w:color="auto"/>
        <w:bottom w:val="none" w:sz="0" w:space="0" w:color="auto"/>
        <w:right w:val="none" w:sz="0" w:space="0" w:color="auto"/>
      </w:divBdr>
      <w:divsChild>
        <w:div w:id="641931311">
          <w:marLeft w:val="547"/>
          <w:marRight w:val="0"/>
          <w:marTop w:val="40"/>
          <w:marBottom w:val="40"/>
          <w:divBdr>
            <w:top w:val="none" w:sz="0" w:space="0" w:color="auto"/>
            <w:left w:val="none" w:sz="0" w:space="0" w:color="auto"/>
            <w:bottom w:val="none" w:sz="0" w:space="0" w:color="auto"/>
            <w:right w:val="none" w:sz="0" w:space="0" w:color="auto"/>
          </w:divBdr>
        </w:div>
        <w:div w:id="828981639">
          <w:marLeft w:val="547"/>
          <w:marRight w:val="0"/>
          <w:marTop w:val="40"/>
          <w:marBottom w:val="40"/>
          <w:divBdr>
            <w:top w:val="none" w:sz="0" w:space="0" w:color="auto"/>
            <w:left w:val="none" w:sz="0" w:space="0" w:color="auto"/>
            <w:bottom w:val="none" w:sz="0" w:space="0" w:color="auto"/>
            <w:right w:val="none" w:sz="0" w:space="0" w:color="auto"/>
          </w:divBdr>
        </w:div>
        <w:div w:id="939995345">
          <w:marLeft w:val="1166"/>
          <w:marRight w:val="0"/>
          <w:marTop w:val="40"/>
          <w:marBottom w:val="40"/>
          <w:divBdr>
            <w:top w:val="none" w:sz="0" w:space="0" w:color="auto"/>
            <w:left w:val="none" w:sz="0" w:space="0" w:color="auto"/>
            <w:bottom w:val="none" w:sz="0" w:space="0" w:color="auto"/>
            <w:right w:val="none" w:sz="0" w:space="0" w:color="auto"/>
          </w:divBdr>
        </w:div>
        <w:div w:id="1418600947">
          <w:marLeft w:val="1166"/>
          <w:marRight w:val="0"/>
          <w:marTop w:val="40"/>
          <w:marBottom w:val="40"/>
          <w:divBdr>
            <w:top w:val="none" w:sz="0" w:space="0" w:color="auto"/>
            <w:left w:val="none" w:sz="0" w:space="0" w:color="auto"/>
            <w:bottom w:val="none" w:sz="0" w:space="0" w:color="auto"/>
            <w:right w:val="none" w:sz="0" w:space="0" w:color="auto"/>
          </w:divBdr>
        </w:div>
        <w:div w:id="2136486155">
          <w:marLeft w:val="1166"/>
          <w:marRight w:val="0"/>
          <w:marTop w:val="40"/>
          <w:marBottom w:val="40"/>
          <w:divBdr>
            <w:top w:val="none" w:sz="0" w:space="0" w:color="auto"/>
            <w:left w:val="none" w:sz="0" w:space="0" w:color="auto"/>
            <w:bottom w:val="none" w:sz="0" w:space="0" w:color="auto"/>
            <w:right w:val="none" w:sz="0" w:space="0" w:color="auto"/>
          </w:divBdr>
        </w:div>
      </w:divsChild>
    </w:div>
    <w:div w:id="1522627639">
      <w:bodyDiv w:val="1"/>
      <w:marLeft w:val="0"/>
      <w:marRight w:val="0"/>
      <w:marTop w:val="0"/>
      <w:marBottom w:val="0"/>
      <w:divBdr>
        <w:top w:val="none" w:sz="0" w:space="0" w:color="auto"/>
        <w:left w:val="none" w:sz="0" w:space="0" w:color="auto"/>
        <w:bottom w:val="none" w:sz="0" w:space="0" w:color="auto"/>
        <w:right w:val="none" w:sz="0" w:space="0" w:color="auto"/>
      </w:divBdr>
    </w:div>
    <w:div w:id="1638993423">
      <w:bodyDiv w:val="1"/>
      <w:marLeft w:val="0"/>
      <w:marRight w:val="0"/>
      <w:marTop w:val="0"/>
      <w:marBottom w:val="0"/>
      <w:divBdr>
        <w:top w:val="none" w:sz="0" w:space="0" w:color="auto"/>
        <w:left w:val="none" w:sz="0" w:space="0" w:color="auto"/>
        <w:bottom w:val="none" w:sz="0" w:space="0" w:color="auto"/>
        <w:right w:val="none" w:sz="0" w:space="0" w:color="auto"/>
      </w:divBdr>
    </w:div>
    <w:div w:id="1652637507">
      <w:bodyDiv w:val="1"/>
      <w:marLeft w:val="0"/>
      <w:marRight w:val="0"/>
      <w:marTop w:val="0"/>
      <w:marBottom w:val="0"/>
      <w:divBdr>
        <w:top w:val="none" w:sz="0" w:space="0" w:color="auto"/>
        <w:left w:val="none" w:sz="0" w:space="0" w:color="auto"/>
        <w:bottom w:val="none" w:sz="0" w:space="0" w:color="auto"/>
        <w:right w:val="none" w:sz="0" w:space="0" w:color="auto"/>
      </w:divBdr>
    </w:div>
    <w:div w:id="1663390093">
      <w:bodyDiv w:val="1"/>
      <w:marLeft w:val="0"/>
      <w:marRight w:val="0"/>
      <w:marTop w:val="0"/>
      <w:marBottom w:val="0"/>
      <w:divBdr>
        <w:top w:val="none" w:sz="0" w:space="0" w:color="auto"/>
        <w:left w:val="none" w:sz="0" w:space="0" w:color="auto"/>
        <w:bottom w:val="none" w:sz="0" w:space="0" w:color="auto"/>
        <w:right w:val="none" w:sz="0" w:space="0" w:color="auto"/>
      </w:divBdr>
    </w:div>
    <w:div w:id="1734885452">
      <w:bodyDiv w:val="1"/>
      <w:marLeft w:val="0"/>
      <w:marRight w:val="0"/>
      <w:marTop w:val="0"/>
      <w:marBottom w:val="0"/>
      <w:divBdr>
        <w:top w:val="none" w:sz="0" w:space="0" w:color="auto"/>
        <w:left w:val="none" w:sz="0" w:space="0" w:color="auto"/>
        <w:bottom w:val="none" w:sz="0" w:space="0" w:color="auto"/>
        <w:right w:val="none" w:sz="0" w:space="0" w:color="auto"/>
      </w:divBdr>
    </w:div>
    <w:div w:id="1765883905">
      <w:bodyDiv w:val="1"/>
      <w:marLeft w:val="0"/>
      <w:marRight w:val="0"/>
      <w:marTop w:val="0"/>
      <w:marBottom w:val="0"/>
      <w:divBdr>
        <w:top w:val="none" w:sz="0" w:space="0" w:color="auto"/>
        <w:left w:val="none" w:sz="0" w:space="0" w:color="auto"/>
        <w:bottom w:val="none" w:sz="0" w:space="0" w:color="auto"/>
        <w:right w:val="none" w:sz="0" w:space="0" w:color="auto"/>
      </w:divBdr>
      <w:divsChild>
        <w:div w:id="2144958648">
          <w:marLeft w:val="274"/>
          <w:marRight w:val="0"/>
          <w:marTop w:val="77"/>
          <w:marBottom w:val="0"/>
          <w:divBdr>
            <w:top w:val="none" w:sz="0" w:space="0" w:color="auto"/>
            <w:left w:val="none" w:sz="0" w:space="0" w:color="auto"/>
            <w:bottom w:val="none" w:sz="0" w:space="0" w:color="auto"/>
            <w:right w:val="none" w:sz="0" w:space="0" w:color="auto"/>
          </w:divBdr>
        </w:div>
      </w:divsChild>
    </w:div>
    <w:div w:id="1875917828">
      <w:bodyDiv w:val="1"/>
      <w:marLeft w:val="0"/>
      <w:marRight w:val="0"/>
      <w:marTop w:val="0"/>
      <w:marBottom w:val="0"/>
      <w:divBdr>
        <w:top w:val="none" w:sz="0" w:space="0" w:color="auto"/>
        <w:left w:val="none" w:sz="0" w:space="0" w:color="auto"/>
        <w:bottom w:val="none" w:sz="0" w:space="0" w:color="auto"/>
        <w:right w:val="none" w:sz="0" w:space="0" w:color="auto"/>
      </w:divBdr>
      <w:divsChild>
        <w:div w:id="1084883777">
          <w:marLeft w:val="562"/>
          <w:marRight w:val="0"/>
          <w:marTop w:val="0"/>
          <w:marBottom w:val="0"/>
          <w:divBdr>
            <w:top w:val="none" w:sz="0" w:space="0" w:color="auto"/>
            <w:left w:val="none" w:sz="0" w:space="0" w:color="auto"/>
            <w:bottom w:val="none" w:sz="0" w:space="0" w:color="auto"/>
            <w:right w:val="none" w:sz="0" w:space="0" w:color="auto"/>
          </w:divBdr>
        </w:div>
      </w:divsChild>
    </w:div>
    <w:div w:id="2048143938">
      <w:bodyDiv w:val="1"/>
      <w:marLeft w:val="0"/>
      <w:marRight w:val="0"/>
      <w:marTop w:val="0"/>
      <w:marBottom w:val="0"/>
      <w:divBdr>
        <w:top w:val="none" w:sz="0" w:space="0" w:color="auto"/>
        <w:left w:val="none" w:sz="0" w:space="0" w:color="auto"/>
        <w:bottom w:val="none" w:sz="0" w:space="0" w:color="auto"/>
        <w:right w:val="none" w:sz="0" w:space="0" w:color="auto"/>
      </w:divBdr>
    </w:div>
    <w:div w:id="2114737754">
      <w:bodyDiv w:val="1"/>
      <w:marLeft w:val="0"/>
      <w:marRight w:val="0"/>
      <w:marTop w:val="0"/>
      <w:marBottom w:val="0"/>
      <w:divBdr>
        <w:top w:val="none" w:sz="0" w:space="0" w:color="auto"/>
        <w:left w:val="none" w:sz="0" w:space="0" w:color="auto"/>
        <w:bottom w:val="none" w:sz="0" w:space="0" w:color="auto"/>
        <w:right w:val="none" w:sz="0" w:space="0" w:color="auto"/>
      </w:divBdr>
    </w:div>
    <w:div w:id="21305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file:///C:\Karine\Noyau\20141031_00%2005%2000\2-Dictionnaire%20des%20donn&#233;es\Dictionnaire%20des%20donn&#233;es_00%2005%2000.xls" TargetMode="External"/><Relationship Id="rId26" Type="http://schemas.openxmlformats.org/officeDocument/2006/relationships/image" Target="media/image18.emf"/><Relationship Id="rId39" Type="http://schemas.openxmlformats.org/officeDocument/2006/relationships/footer" Target="footer3.xml"/><Relationship Id="rId21" Type="http://schemas.openxmlformats.org/officeDocument/2006/relationships/image" Target="media/image14.emf"/><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Karine\Noyau\20141031_00%2005%2000\2-Dictionnaire%20des%20donn&#233;es\Dictionnaire%20des%20donn&#233;es_00%2005%2000.xls" TargetMode="External"/><Relationship Id="rId20" Type="http://schemas.openxmlformats.org/officeDocument/2006/relationships/image" Target="media/image13.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7.emf"/><Relationship Id="rId32" Type="http://schemas.openxmlformats.org/officeDocument/2006/relationships/image" Target="media/image21.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Karine\Noyau\20141031_00%2005%2000\2-Dictionnaire%20des%20donn&#233;es\Dictionnaire%20des%20donn&#233;es_00%2005%2000.xls" TargetMode="External"/><Relationship Id="rId23" Type="http://schemas.openxmlformats.org/officeDocument/2006/relationships/image" Target="media/image16.png"/><Relationship Id="rId28" Type="http://schemas.openxmlformats.org/officeDocument/2006/relationships/image" Target="media/image19.emf"/><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hyperlink" Target="file:///\\BALIDFS1\onp\ONP\DATA\INTRANET\Projet%20de%20Service\Flyers\RENOIRH_20150701.pptx"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1.png"/><Relationship Id="rId22" Type="http://schemas.openxmlformats.org/officeDocument/2006/relationships/image" Target="media/image15.png"/><Relationship Id="rId27" Type="http://schemas.openxmlformats.org/officeDocument/2006/relationships/oleObject" Target="embeddings/Microsoft_Excel_97-2003_Worksheet1.xls"/><Relationship Id="rId30" Type="http://schemas.openxmlformats.org/officeDocument/2006/relationships/hyperlink" Target="file:///\\BALIDFS1\onp\ONP\DATA\INTRANET\Projet%20de%20Service\Flyers\RENOIRH_20150701.pptx" TargetMode="External"/><Relationship Id="rId35" Type="http://schemas.openxmlformats.org/officeDocument/2006/relationships/header" Target="header3.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file:///C:\Karine\Noyau\20141031_00%2005%2000\2-Dictionnaire%20des%20donn&#233;es\Dictionnaire%20des%20donn&#233;es_00%2005%2000.xls" TargetMode="External"/><Relationship Id="rId25" Type="http://schemas.openxmlformats.org/officeDocument/2006/relationships/oleObject" Target="embeddings/Microsoft_Excel_97-2003_Worksheet.xls"/><Relationship Id="rId33" Type="http://schemas.openxmlformats.org/officeDocument/2006/relationships/image" Target="cid:image001.jpg@01D0A464.B0769270" TargetMode="Externa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22.6AC55920"/><Relationship Id="rId2" Type="http://schemas.openxmlformats.org/officeDocument/2006/relationships/hyperlink" Target="https://ingres.cisirh.rie.gouv.fr/hra-space" TargetMode="External"/><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497F-7736-405C-A278-1AF43482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65</Pages>
  <Words>16166</Words>
  <Characters>88918</Characters>
  <Application>Microsoft Office Word</Application>
  <DocSecurity>0</DocSecurity>
  <Lines>740</Lines>
  <Paragraphs>209</Paragraphs>
  <ScaleCrop>false</ScaleCrop>
  <HeadingPairs>
    <vt:vector size="2" baseType="variant">
      <vt:variant>
        <vt:lpstr>Titre</vt:lpstr>
      </vt:variant>
      <vt:variant>
        <vt:i4>1</vt:i4>
      </vt:variant>
    </vt:vector>
  </HeadingPairs>
  <TitlesOfParts>
    <vt:vector size="1" baseType="lpstr">
      <vt:lpstr>Document Chapeau Format fichier OGR</vt:lpstr>
    </vt:vector>
  </TitlesOfParts>
  <Company>MINEFI</Company>
  <LinksUpToDate>false</LinksUpToDate>
  <CharactersWithSpaces>104875</CharactersWithSpaces>
  <SharedDoc>false</SharedDoc>
  <HLinks>
    <vt:vector size="150" baseType="variant">
      <vt:variant>
        <vt:i4>7995588</vt:i4>
      </vt:variant>
      <vt:variant>
        <vt:i4>147</vt:i4>
      </vt:variant>
      <vt:variant>
        <vt:i4>0</vt:i4>
      </vt:variant>
      <vt:variant>
        <vt:i4>5</vt:i4>
      </vt:variant>
      <vt:variant>
        <vt:lpwstr/>
      </vt:variant>
      <vt:variant>
        <vt:lpwstr>_Nomenclatures_décrivant_un</vt:lpwstr>
      </vt:variant>
      <vt:variant>
        <vt:i4>458928</vt:i4>
      </vt:variant>
      <vt:variant>
        <vt:i4>144</vt:i4>
      </vt:variant>
      <vt:variant>
        <vt:i4>0</vt:i4>
      </vt:variant>
      <vt:variant>
        <vt:i4>5</vt:i4>
      </vt:variant>
      <vt:variant>
        <vt:lpwstr>C:\Karine\Noyau\20141031_00 05 00\2-Dictionnaire des données\Dictionnaire des données_00 05 00.xls</vt:lpwstr>
      </vt:variant>
      <vt:variant>
        <vt:lpwstr>Agrégation_Statuts_Niv2</vt:lpwstr>
      </vt:variant>
      <vt:variant>
        <vt:i4>458928</vt:i4>
      </vt:variant>
      <vt:variant>
        <vt:i4>141</vt:i4>
      </vt:variant>
      <vt:variant>
        <vt:i4>0</vt:i4>
      </vt:variant>
      <vt:variant>
        <vt:i4>5</vt:i4>
      </vt:variant>
      <vt:variant>
        <vt:lpwstr>C:\Karine\Noyau\20141031_00 05 00\2-Dictionnaire des données\Dictionnaire des données_00 05 00.xls</vt:lpwstr>
      </vt:variant>
      <vt:variant>
        <vt:lpwstr>Agrégation_Statuts_Niv1</vt:lpwstr>
      </vt:variant>
      <vt:variant>
        <vt:i4>12451969</vt:i4>
      </vt:variant>
      <vt:variant>
        <vt:i4>138</vt:i4>
      </vt:variant>
      <vt:variant>
        <vt:i4>0</vt:i4>
      </vt:variant>
      <vt:variant>
        <vt:i4>5</vt:i4>
      </vt:variant>
      <vt:variant>
        <vt:lpwstr>C:\Karine\Noyau\20141031_00 05 00\2-Dictionnaire des données\Dictionnaire des données_00 05 00.xls</vt:lpwstr>
      </vt:variant>
      <vt:variant>
        <vt:lpwstr>Typologie_de_population</vt:lpwstr>
      </vt:variant>
      <vt:variant>
        <vt:i4>458928</vt:i4>
      </vt:variant>
      <vt:variant>
        <vt:i4>135</vt:i4>
      </vt:variant>
      <vt:variant>
        <vt:i4>0</vt:i4>
      </vt:variant>
      <vt:variant>
        <vt:i4>5</vt:i4>
      </vt:variant>
      <vt:variant>
        <vt:lpwstr>C:\Karine\Noyau\20141031_00 05 00\2-Dictionnaire des données\Dictionnaire des données_00 05 00.xls</vt:lpwstr>
      </vt:variant>
      <vt:variant>
        <vt:lpwstr>Agrégation_Statuts_Niv1</vt:lpwstr>
      </vt:variant>
      <vt:variant>
        <vt:i4>1245235</vt:i4>
      </vt:variant>
      <vt:variant>
        <vt:i4>128</vt:i4>
      </vt:variant>
      <vt:variant>
        <vt:i4>0</vt:i4>
      </vt:variant>
      <vt:variant>
        <vt:i4>5</vt:i4>
      </vt:variant>
      <vt:variant>
        <vt:lpwstr/>
      </vt:variant>
      <vt:variant>
        <vt:lpwstr>_Toc421033558</vt:lpwstr>
      </vt:variant>
      <vt:variant>
        <vt:i4>1245235</vt:i4>
      </vt:variant>
      <vt:variant>
        <vt:i4>122</vt:i4>
      </vt:variant>
      <vt:variant>
        <vt:i4>0</vt:i4>
      </vt:variant>
      <vt:variant>
        <vt:i4>5</vt:i4>
      </vt:variant>
      <vt:variant>
        <vt:lpwstr/>
      </vt:variant>
      <vt:variant>
        <vt:lpwstr>_Toc421033557</vt:lpwstr>
      </vt:variant>
      <vt:variant>
        <vt:i4>1245235</vt:i4>
      </vt:variant>
      <vt:variant>
        <vt:i4>116</vt:i4>
      </vt:variant>
      <vt:variant>
        <vt:i4>0</vt:i4>
      </vt:variant>
      <vt:variant>
        <vt:i4>5</vt:i4>
      </vt:variant>
      <vt:variant>
        <vt:lpwstr/>
      </vt:variant>
      <vt:variant>
        <vt:lpwstr>_Toc421033556</vt:lpwstr>
      </vt:variant>
      <vt:variant>
        <vt:i4>1245235</vt:i4>
      </vt:variant>
      <vt:variant>
        <vt:i4>110</vt:i4>
      </vt:variant>
      <vt:variant>
        <vt:i4>0</vt:i4>
      </vt:variant>
      <vt:variant>
        <vt:i4>5</vt:i4>
      </vt:variant>
      <vt:variant>
        <vt:lpwstr/>
      </vt:variant>
      <vt:variant>
        <vt:lpwstr>_Toc421033555</vt:lpwstr>
      </vt:variant>
      <vt:variant>
        <vt:i4>1245235</vt:i4>
      </vt:variant>
      <vt:variant>
        <vt:i4>104</vt:i4>
      </vt:variant>
      <vt:variant>
        <vt:i4>0</vt:i4>
      </vt:variant>
      <vt:variant>
        <vt:i4>5</vt:i4>
      </vt:variant>
      <vt:variant>
        <vt:lpwstr/>
      </vt:variant>
      <vt:variant>
        <vt:lpwstr>_Toc421033554</vt:lpwstr>
      </vt:variant>
      <vt:variant>
        <vt:i4>1245235</vt:i4>
      </vt:variant>
      <vt:variant>
        <vt:i4>98</vt:i4>
      </vt:variant>
      <vt:variant>
        <vt:i4>0</vt:i4>
      </vt:variant>
      <vt:variant>
        <vt:i4>5</vt:i4>
      </vt:variant>
      <vt:variant>
        <vt:lpwstr/>
      </vt:variant>
      <vt:variant>
        <vt:lpwstr>_Toc421033553</vt:lpwstr>
      </vt:variant>
      <vt:variant>
        <vt:i4>1245235</vt:i4>
      </vt:variant>
      <vt:variant>
        <vt:i4>92</vt:i4>
      </vt:variant>
      <vt:variant>
        <vt:i4>0</vt:i4>
      </vt:variant>
      <vt:variant>
        <vt:i4>5</vt:i4>
      </vt:variant>
      <vt:variant>
        <vt:lpwstr/>
      </vt:variant>
      <vt:variant>
        <vt:lpwstr>_Toc421033552</vt:lpwstr>
      </vt:variant>
      <vt:variant>
        <vt:i4>1245235</vt:i4>
      </vt:variant>
      <vt:variant>
        <vt:i4>86</vt:i4>
      </vt:variant>
      <vt:variant>
        <vt:i4>0</vt:i4>
      </vt:variant>
      <vt:variant>
        <vt:i4>5</vt:i4>
      </vt:variant>
      <vt:variant>
        <vt:lpwstr/>
      </vt:variant>
      <vt:variant>
        <vt:lpwstr>_Toc421033551</vt:lpwstr>
      </vt:variant>
      <vt:variant>
        <vt:i4>1245235</vt:i4>
      </vt:variant>
      <vt:variant>
        <vt:i4>80</vt:i4>
      </vt:variant>
      <vt:variant>
        <vt:i4>0</vt:i4>
      </vt:variant>
      <vt:variant>
        <vt:i4>5</vt:i4>
      </vt:variant>
      <vt:variant>
        <vt:lpwstr/>
      </vt:variant>
      <vt:variant>
        <vt:lpwstr>_Toc421033550</vt:lpwstr>
      </vt:variant>
      <vt:variant>
        <vt:i4>1179699</vt:i4>
      </vt:variant>
      <vt:variant>
        <vt:i4>74</vt:i4>
      </vt:variant>
      <vt:variant>
        <vt:i4>0</vt:i4>
      </vt:variant>
      <vt:variant>
        <vt:i4>5</vt:i4>
      </vt:variant>
      <vt:variant>
        <vt:lpwstr/>
      </vt:variant>
      <vt:variant>
        <vt:lpwstr>_Toc421033547</vt:lpwstr>
      </vt:variant>
      <vt:variant>
        <vt:i4>1179699</vt:i4>
      </vt:variant>
      <vt:variant>
        <vt:i4>68</vt:i4>
      </vt:variant>
      <vt:variant>
        <vt:i4>0</vt:i4>
      </vt:variant>
      <vt:variant>
        <vt:i4>5</vt:i4>
      </vt:variant>
      <vt:variant>
        <vt:lpwstr/>
      </vt:variant>
      <vt:variant>
        <vt:lpwstr>_Toc421033546</vt:lpwstr>
      </vt:variant>
      <vt:variant>
        <vt:i4>1179699</vt:i4>
      </vt:variant>
      <vt:variant>
        <vt:i4>62</vt:i4>
      </vt:variant>
      <vt:variant>
        <vt:i4>0</vt:i4>
      </vt:variant>
      <vt:variant>
        <vt:i4>5</vt:i4>
      </vt:variant>
      <vt:variant>
        <vt:lpwstr/>
      </vt:variant>
      <vt:variant>
        <vt:lpwstr>_Toc421033545</vt:lpwstr>
      </vt:variant>
      <vt:variant>
        <vt:i4>1179699</vt:i4>
      </vt:variant>
      <vt:variant>
        <vt:i4>56</vt:i4>
      </vt:variant>
      <vt:variant>
        <vt:i4>0</vt:i4>
      </vt:variant>
      <vt:variant>
        <vt:i4>5</vt:i4>
      </vt:variant>
      <vt:variant>
        <vt:lpwstr/>
      </vt:variant>
      <vt:variant>
        <vt:lpwstr>_Toc421033544</vt:lpwstr>
      </vt:variant>
      <vt:variant>
        <vt:i4>1179699</vt:i4>
      </vt:variant>
      <vt:variant>
        <vt:i4>50</vt:i4>
      </vt:variant>
      <vt:variant>
        <vt:i4>0</vt:i4>
      </vt:variant>
      <vt:variant>
        <vt:i4>5</vt:i4>
      </vt:variant>
      <vt:variant>
        <vt:lpwstr/>
      </vt:variant>
      <vt:variant>
        <vt:lpwstr>_Toc421033543</vt:lpwstr>
      </vt:variant>
      <vt:variant>
        <vt:i4>1179699</vt:i4>
      </vt:variant>
      <vt:variant>
        <vt:i4>44</vt:i4>
      </vt:variant>
      <vt:variant>
        <vt:i4>0</vt:i4>
      </vt:variant>
      <vt:variant>
        <vt:i4>5</vt:i4>
      </vt:variant>
      <vt:variant>
        <vt:lpwstr/>
      </vt:variant>
      <vt:variant>
        <vt:lpwstr>_Toc421033542</vt:lpwstr>
      </vt:variant>
      <vt:variant>
        <vt:i4>1179699</vt:i4>
      </vt:variant>
      <vt:variant>
        <vt:i4>38</vt:i4>
      </vt:variant>
      <vt:variant>
        <vt:i4>0</vt:i4>
      </vt:variant>
      <vt:variant>
        <vt:i4>5</vt:i4>
      </vt:variant>
      <vt:variant>
        <vt:lpwstr/>
      </vt:variant>
      <vt:variant>
        <vt:lpwstr>_Toc421033541</vt:lpwstr>
      </vt:variant>
      <vt:variant>
        <vt:i4>1179699</vt:i4>
      </vt:variant>
      <vt:variant>
        <vt:i4>32</vt:i4>
      </vt:variant>
      <vt:variant>
        <vt:i4>0</vt:i4>
      </vt:variant>
      <vt:variant>
        <vt:i4>5</vt:i4>
      </vt:variant>
      <vt:variant>
        <vt:lpwstr/>
      </vt:variant>
      <vt:variant>
        <vt:lpwstr>_Toc421033540</vt:lpwstr>
      </vt:variant>
      <vt:variant>
        <vt:i4>1376307</vt:i4>
      </vt:variant>
      <vt:variant>
        <vt:i4>26</vt:i4>
      </vt:variant>
      <vt:variant>
        <vt:i4>0</vt:i4>
      </vt:variant>
      <vt:variant>
        <vt:i4>5</vt:i4>
      </vt:variant>
      <vt:variant>
        <vt:lpwstr/>
      </vt:variant>
      <vt:variant>
        <vt:lpwstr>_Toc421033539</vt:lpwstr>
      </vt:variant>
      <vt:variant>
        <vt:i4>1376307</vt:i4>
      </vt:variant>
      <vt:variant>
        <vt:i4>20</vt:i4>
      </vt:variant>
      <vt:variant>
        <vt:i4>0</vt:i4>
      </vt:variant>
      <vt:variant>
        <vt:i4>5</vt:i4>
      </vt:variant>
      <vt:variant>
        <vt:lpwstr/>
      </vt:variant>
      <vt:variant>
        <vt:lpwstr>_Toc421033538</vt:lpwstr>
      </vt:variant>
      <vt:variant>
        <vt:i4>1376307</vt:i4>
      </vt:variant>
      <vt:variant>
        <vt:i4>14</vt:i4>
      </vt:variant>
      <vt:variant>
        <vt:i4>0</vt:i4>
      </vt:variant>
      <vt:variant>
        <vt:i4>5</vt:i4>
      </vt:variant>
      <vt:variant>
        <vt:lpwstr/>
      </vt:variant>
      <vt:variant>
        <vt:lpwstr>_Toc421033537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Chapeau Format fichier OGR</dc:title>
  <dc:subject>Echanges SIRH</dc:subject>
  <dc:creator>ccharlier-adc</dc:creator>
  <cp:lastModifiedBy>MARCQ Jerome</cp:lastModifiedBy>
  <cp:revision>22</cp:revision>
  <cp:lastPrinted>2015-07-30T15:25:00Z</cp:lastPrinted>
  <dcterms:created xsi:type="dcterms:W3CDTF">2018-08-23T11:41:00Z</dcterms:created>
  <dcterms:modified xsi:type="dcterms:W3CDTF">2024-07-03T14:47:00Z</dcterms:modified>
</cp:coreProperties>
</file>