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597" w:rsidRDefault="00465597" w:rsidP="00465597">
      <w:pPr>
        <w:pStyle w:val="Textedesaisie"/>
        <w:jc w:val="right"/>
        <w:rPr>
          <w:b/>
          <w:bCs/>
          <w:sz w:val="24"/>
          <w:szCs w:val="24"/>
        </w:rPr>
      </w:pPr>
    </w:p>
    <w:p w:rsidR="00465597" w:rsidRDefault="00185AFB" w:rsidP="00465597">
      <w:pPr>
        <w:pStyle w:val="Textedesaisie"/>
        <w:jc w:val="righ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6DD48E84" wp14:editId="0E6C5C5C">
            <wp:simplePos x="0" y="0"/>
            <wp:positionH relativeFrom="column">
              <wp:posOffset>58420</wp:posOffset>
            </wp:positionH>
            <wp:positionV relativeFrom="page">
              <wp:posOffset>1082040</wp:posOffset>
            </wp:positionV>
            <wp:extent cx="1901825" cy="1066800"/>
            <wp:effectExtent l="0" t="0" r="317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186E" w:rsidRPr="00465597" w:rsidRDefault="00465597" w:rsidP="00465597">
      <w:pPr>
        <w:pStyle w:val="Textedesaisie"/>
        <w:jc w:val="right"/>
        <w:rPr>
          <w:b/>
          <w:bCs/>
          <w:sz w:val="24"/>
          <w:szCs w:val="24"/>
        </w:rPr>
      </w:pPr>
      <w:r w:rsidRPr="00465597">
        <w:rPr>
          <w:b/>
          <w:bCs/>
          <w:sz w:val="24"/>
          <w:szCs w:val="24"/>
        </w:rPr>
        <w:t>Direction de l’immobilier de l’Etat</w:t>
      </w:r>
      <w:r>
        <w:rPr>
          <w:b/>
          <w:bCs/>
          <w:sz w:val="24"/>
          <w:szCs w:val="24"/>
        </w:rPr>
        <w:br w:type="textWrapping" w:clear="all"/>
      </w:r>
    </w:p>
    <w:p w:rsidR="0050186E" w:rsidRPr="000E388C" w:rsidRDefault="0050186E" w:rsidP="000E388C">
      <w:pPr>
        <w:pStyle w:val="Textedesaisie"/>
      </w:pPr>
    </w:p>
    <w:p w:rsidR="0050186E" w:rsidRPr="000E388C" w:rsidRDefault="0050186E" w:rsidP="000E388C">
      <w:pPr>
        <w:pStyle w:val="Textedesaisie"/>
      </w:pPr>
    </w:p>
    <w:p w:rsidR="000E388C" w:rsidRPr="000E388C" w:rsidRDefault="000E388C" w:rsidP="000E388C">
      <w:pPr>
        <w:pStyle w:val="Textedesaisie"/>
      </w:pPr>
    </w:p>
    <w:p w:rsidR="000E388C" w:rsidRPr="000E388C" w:rsidRDefault="000E388C" w:rsidP="000E388C">
      <w:pPr>
        <w:pStyle w:val="Textedesaisie"/>
      </w:pPr>
    </w:p>
    <w:p w:rsidR="000E388C" w:rsidRPr="000E388C" w:rsidRDefault="000E388C" w:rsidP="000E388C">
      <w:pPr>
        <w:pStyle w:val="Textedesaisie"/>
      </w:pPr>
    </w:p>
    <w:p w:rsidR="000E388C" w:rsidRPr="000E388C" w:rsidRDefault="000E388C" w:rsidP="000E388C">
      <w:pPr>
        <w:pStyle w:val="Textedesaisie"/>
      </w:pPr>
    </w:p>
    <w:p w:rsidR="000E388C" w:rsidRPr="000E388C" w:rsidRDefault="000E388C" w:rsidP="000E388C">
      <w:pPr>
        <w:pStyle w:val="Textedesaisie"/>
      </w:pPr>
    </w:p>
    <w:p w:rsidR="000E388C" w:rsidRPr="000E388C" w:rsidRDefault="000E388C" w:rsidP="000E388C">
      <w:pPr>
        <w:pStyle w:val="Textedesaisie"/>
      </w:pPr>
    </w:p>
    <w:p w:rsidR="0050186E" w:rsidRPr="000E388C" w:rsidRDefault="0050186E" w:rsidP="000E388C">
      <w:pPr>
        <w:pStyle w:val="Textedesaisie"/>
      </w:pPr>
    </w:p>
    <w:p w:rsidR="00502202" w:rsidRDefault="00894E6E" w:rsidP="00AE6ECD">
      <w:pPr>
        <w:pStyle w:val="Textedesaisie"/>
        <w:jc w:val="center"/>
        <w:rPr>
          <w:rFonts w:ascii="Marianne ExtraBold" w:hAnsi="Marianne ExtraBold"/>
          <w:color w:val="5770BE" w:themeColor="text2"/>
          <w:sz w:val="96"/>
          <w:szCs w:val="96"/>
        </w:rPr>
      </w:pPr>
      <w:r w:rsidRPr="00894E6E">
        <w:rPr>
          <w:rFonts w:ascii="Marianne ExtraBold" w:hAnsi="Marianne ExtraBold"/>
          <w:color w:val="5770BE" w:themeColor="text2"/>
          <w:sz w:val="96"/>
          <w:szCs w:val="96"/>
        </w:rPr>
        <w:t>Données ouvertes</w:t>
      </w:r>
    </w:p>
    <w:p w:rsidR="00894E6E" w:rsidRPr="00894E6E" w:rsidRDefault="00894E6E" w:rsidP="00AE6ECD">
      <w:pPr>
        <w:pStyle w:val="Textedesaisie"/>
        <w:jc w:val="center"/>
        <w:rPr>
          <w:rFonts w:ascii="Marianne ExtraBold" w:hAnsi="Marianne ExtraBold"/>
          <w:color w:val="5770BE" w:themeColor="text2"/>
          <w:sz w:val="96"/>
          <w:szCs w:val="96"/>
        </w:rPr>
      </w:pPr>
      <w:r>
        <w:rPr>
          <w:rFonts w:ascii="Marianne ExtraBold" w:hAnsi="Marianne ExtraBold"/>
          <w:color w:val="5770BE" w:themeColor="text2"/>
          <w:sz w:val="96"/>
          <w:szCs w:val="96"/>
        </w:rPr>
        <w:t>Open Data</w:t>
      </w:r>
    </w:p>
    <w:p w:rsidR="000E388C" w:rsidRPr="000E388C" w:rsidRDefault="000E388C" w:rsidP="000E388C">
      <w:pPr>
        <w:pStyle w:val="Textedesaisie"/>
      </w:pPr>
    </w:p>
    <w:p w:rsidR="000E388C" w:rsidRPr="000E388C" w:rsidRDefault="000E388C" w:rsidP="000E388C">
      <w:pPr>
        <w:pStyle w:val="Textedesaisie"/>
      </w:pPr>
    </w:p>
    <w:p w:rsidR="000E388C" w:rsidRPr="00AE6ECD" w:rsidRDefault="00894E6E" w:rsidP="00AE6ECD">
      <w:pPr>
        <w:pStyle w:val="Textedesaisie"/>
        <w:jc w:val="center"/>
        <w:rPr>
          <w:rFonts w:ascii="Marianne ExtraBold" w:hAnsi="Marianne ExtraBold"/>
          <w:sz w:val="44"/>
          <w:szCs w:val="40"/>
        </w:rPr>
      </w:pPr>
      <w:r>
        <w:rPr>
          <w:rFonts w:ascii="Marianne ExtraBold" w:hAnsi="Marianne ExtraBold"/>
          <w:sz w:val="44"/>
          <w:szCs w:val="40"/>
        </w:rPr>
        <w:t>Notice explicative pour le fichier Parc_Immobilier_Etat_20221231</w:t>
      </w:r>
    </w:p>
    <w:p w:rsidR="000E388C" w:rsidRPr="000E388C" w:rsidRDefault="000E388C" w:rsidP="000E388C">
      <w:pPr>
        <w:pStyle w:val="Textedesaisie"/>
      </w:pPr>
    </w:p>
    <w:p w:rsidR="000E388C" w:rsidRPr="000E388C" w:rsidRDefault="000E388C" w:rsidP="000E388C">
      <w:pPr>
        <w:pStyle w:val="Textedesaisie"/>
      </w:pPr>
    </w:p>
    <w:p w:rsidR="000E388C" w:rsidRPr="000E388C" w:rsidRDefault="000E388C" w:rsidP="000E388C">
      <w:pPr>
        <w:pStyle w:val="Textedesaisie"/>
      </w:pPr>
    </w:p>
    <w:p w:rsidR="000E388C" w:rsidRPr="000E388C" w:rsidRDefault="000E388C" w:rsidP="000E388C">
      <w:pPr>
        <w:pStyle w:val="Textedesaisie"/>
      </w:pPr>
    </w:p>
    <w:p w:rsidR="000E388C" w:rsidRPr="000E388C" w:rsidRDefault="00894E6E" w:rsidP="00AE6ECD">
      <w:pPr>
        <w:pStyle w:val="Textedesaisie"/>
        <w:jc w:val="center"/>
      </w:pPr>
      <w:r>
        <w:t>19/12/2024</w:t>
      </w:r>
    </w:p>
    <w:p w:rsidR="0083605F" w:rsidRPr="000E388C" w:rsidRDefault="000E388C" w:rsidP="00894E6E">
      <w:r w:rsidRPr="000E388C">
        <w:br w:type="page"/>
      </w:r>
    </w:p>
    <w:p w:rsidR="000E388C" w:rsidRPr="000E388C" w:rsidRDefault="000E388C" w:rsidP="000E388C"/>
    <w:p w:rsidR="0083605F" w:rsidRPr="000E388C" w:rsidRDefault="000E388C" w:rsidP="00AE6ECD">
      <w:pPr>
        <w:pStyle w:val="DIETitre1Rapport"/>
        <w:numPr>
          <w:ilvl w:val="0"/>
          <w:numId w:val="0"/>
        </w:numPr>
      </w:pPr>
      <w:bookmarkStart w:id="0" w:name="_Toc185581248"/>
      <w:r w:rsidRPr="000E388C">
        <w:t>Somm</w:t>
      </w:r>
      <w:r w:rsidR="00AB1D54">
        <w:t>2</w:t>
      </w:r>
      <w:r w:rsidRPr="000E388C">
        <w:t>aire</w:t>
      </w:r>
      <w:bookmarkEnd w:id="0"/>
    </w:p>
    <w:p w:rsidR="000E388C" w:rsidRDefault="000E388C" w:rsidP="00AE6ECD"/>
    <w:sdt>
      <w:sdtPr>
        <w:rPr>
          <w:rFonts w:ascii="Marianne" w:eastAsiaTheme="minorHAnsi" w:hAnsi="Marianne" w:cstheme="minorBidi"/>
          <w:color w:val="auto"/>
          <w:sz w:val="22"/>
          <w:szCs w:val="20"/>
          <w:lang w:eastAsia="en-US"/>
        </w:rPr>
        <w:id w:val="105689240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E6ECD" w:rsidRPr="00AE6ECD" w:rsidRDefault="00AE6ECD">
          <w:pPr>
            <w:pStyle w:val="En-ttedetabledesmatires"/>
            <w:rPr>
              <w:rFonts w:ascii="Marianne" w:hAnsi="Marianne"/>
              <w:color w:val="auto"/>
              <w:sz w:val="22"/>
              <w:szCs w:val="22"/>
            </w:rPr>
          </w:pPr>
        </w:p>
        <w:p w:rsidR="00B655E3" w:rsidRDefault="00AE6ECD">
          <w:pPr>
            <w:pStyle w:val="TM1"/>
            <w:tabs>
              <w:tab w:val="right" w:leader="dot" w:pos="9968"/>
            </w:tabs>
            <w:rPr>
              <w:rFonts w:asciiTheme="minorHAnsi" w:eastAsiaTheme="minorEastAsia" w:hAnsiTheme="minorHAnsi"/>
              <w:noProof/>
              <w:szCs w:val="22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5581248" w:history="1">
            <w:r w:rsidR="00B655E3" w:rsidRPr="00EE3B2C">
              <w:rPr>
                <w:rStyle w:val="Lienhypertexte"/>
                <w:noProof/>
              </w:rPr>
              <w:t>Somm2aire</w:t>
            </w:r>
            <w:r w:rsidR="00B655E3">
              <w:rPr>
                <w:noProof/>
                <w:webHidden/>
              </w:rPr>
              <w:tab/>
            </w:r>
            <w:r w:rsidR="00B655E3">
              <w:rPr>
                <w:noProof/>
                <w:webHidden/>
              </w:rPr>
              <w:fldChar w:fldCharType="begin"/>
            </w:r>
            <w:r w:rsidR="00B655E3">
              <w:rPr>
                <w:noProof/>
                <w:webHidden/>
              </w:rPr>
              <w:instrText xml:space="preserve"> PAGEREF _Toc185581248 \h </w:instrText>
            </w:r>
            <w:r w:rsidR="00B655E3">
              <w:rPr>
                <w:noProof/>
                <w:webHidden/>
              </w:rPr>
            </w:r>
            <w:r w:rsidR="00B655E3">
              <w:rPr>
                <w:noProof/>
                <w:webHidden/>
              </w:rPr>
              <w:fldChar w:fldCharType="separate"/>
            </w:r>
            <w:r w:rsidR="00B655E3">
              <w:rPr>
                <w:noProof/>
                <w:webHidden/>
              </w:rPr>
              <w:t>2</w:t>
            </w:r>
            <w:r w:rsidR="00B655E3">
              <w:rPr>
                <w:noProof/>
                <w:webHidden/>
              </w:rPr>
              <w:fldChar w:fldCharType="end"/>
            </w:r>
          </w:hyperlink>
        </w:p>
        <w:p w:rsidR="00B655E3" w:rsidRDefault="00B655E3">
          <w:pPr>
            <w:pStyle w:val="TM1"/>
            <w:tabs>
              <w:tab w:val="left" w:pos="440"/>
              <w:tab w:val="right" w:leader="dot" w:pos="9968"/>
            </w:tabs>
            <w:rPr>
              <w:rFonts w:asciiTheme="minorHAnsi" w:eastAsiaTheme="minorEastAsia" w:hAnsiTheme="minorHAnsi"/>
              <w:noProof/>
              <w:szCs w:val="22"/>
              <w:lang w:eastAsia="fr-FR"/>
            </w:rPr>
          </w:pPr>
          <w:hyperlink w:anchor="_Toc185581249" w:history="1">
            <w:r w:rsidRPr="00EE3B2C">
              <w:rPr>
                <w:rStyle w:val="Lienhypertext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Cs w:val="22"/>
                <w:lang w:eastAsia="fr-FR"/>
              </w:rPr>
              <w:tab/>
            </w:r>
            <w:r w:rsidRPr="00EE3B2C">
              <w:rPr>
                <w:rStyle w:val="Lienhypertexte"/>
                <w:noProof/>
              </w:rPr>
              <w:t>Périmètre, contexte et sources du jeu de données relatif au parc immobilier de l’Etat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_Toc185581249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5E3" w:rsidRDefault="00B655E3">
          <w:pPr>
            <w:pStyle w:val="TM1"/>
            <w:tabs>
              <w:tab w:val="left" w:pos="440"/>
              <w:tab w:val="right" w:leader="dot" w:pos="9968"/>
            </w:tabs>
            <w:rPr>
              <w:rFonts w:asciiTheme="minorHAnsi" w:eastAsiaTheme="minorEastAsia" w:hAnsiTheme="minorHAnsi"/>
              <w:noProof/>
              <w:szCs w:val="22"/>
              <w:lang w:eastAsia="fr-FR"/>
            </w:rPr>
          </w:pPr>
          <w:hyperlink w:anchor="_Toc185581250" w:history="1">
            <w:r w:rsidRPr="00EE3B2C">
              <w:rPr>
                <w:rStyle w:val="Lienhypertexte"/>
                <w:noProof/>
              </w:rPr>
              <w:t>a.</w:t>
            </w:r>
            <w:r>
              <w:rPr>
                <w:rFonts w:asciiTheme="minorHAnsi" w:eastAsiaTheme="minorEastAsia" w:hAnsiTheme="minorHAnsi"/>
                <w:noProof/>
                <w:szCs w:val="22"/>
                <w:lang w:eastAsia="fr-FR"/>
              </w:rPr>
              <w:tab/>
            </w:r>
            <w:r w:rsidRPr="00EE3B2C">
              <w:rPr>
                <w:rStyle w:val="Lienhypertexte"/>
                <w:noProof/>
              </w:rPr>
              <w:t>Périmètre du jeu de données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_Toc185581250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5E3" w:rsidRDefault="00B655E3">
          <w:pPr>
            <w:pStyle w:val="TM1"/>
            <w:tabs>
              <w:tab w:val="left" w:pos="440"/>
              <w:tab w:val="right" w:leader="dot" w:pos="9968"/>
            </w:tabs>
            <w:rPr>
              <w:rFonts w:asciiTheme="minorHAnsi" w:eastAsiaTheme="minorEastAsia" w:hAnsiTheme="minorHAnsi"/>
              <w:noProof/>
              <w:szCs w:val="22"/>
              <w:lang w:eastAsia="fr-FR"/>
            </w:rPr>
          </w:pPr>
          <w:hyperlink w:anchor="_Toc185581251" w:history="1">
            <w:r w:rsidRPr="00EE3B2C">
              <w:rPr>
                <w:rStyle w:val="Lienhypertexte"/>
                <w:noProof/>
              </w:rPr>
              <w:t>b.</w:t>
            </w:r>
            <w:r>
              <w:rPr>
                <w:rFonts w:asciiTheme="minorHAnsi" w:eastAsiaTheme="minorEastAsia" w:hAnsiTheme="minorHAnsi"/>
                <w:noProof/>
                <w:szCs w:val="22"/>
                <w:lang w:eastAsia="fr-FR"/>
              </w:rPr>
              <w:tab/>
            </w:r>
            <w:r w:rsidRPr="00EE3B2C">
              <w:rPr>
                <w:rStyle w:val="Lienhypertexte"/>
                <w:noProof/>
              </w:rPr>
              <w:t>Contexte de la production du jeu de données et sources des données publiées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_Toc185581251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5E3" w:rsidRDefault="00B655E3">
          <w:pPr>
            <w:pStyle w:val="TM1"/>
            <w:tabs>
              <w:tab w:val="left" w:pos="440"/>
              <w:tab w:val="right" w:leader="dot" w:pos="9968"/>
            </w:tabs>
            <w:rPr>
              <w:rFonts w:asciiTheme="minorHAnsi" w:eastAsiaTheme="minorEastAsia" w:hAnsiTheme="minorHAnsi"/>
              <w:noProof/>
              <w:szCs w:val="22"/>
              <w:lang w:eastAsia="fr-FR"/>
            </w:rPr>
          </w:pPr>
          <w:hyperlink w:anchor="_Toc185581252" w:history="1">
            <w:r w:rsidRPr="00EE3B2C">
              <w:rPr>
                <w:rStyle w:val="Lienhypertexte"/>
                <w:noProof/>
              </w:rPr>
              <w:t>c.</w:t>
            </w:r>
            <w:r>
              <w:rPr>
                <w:rFonts w:asciiTheme="minorHAnsi" w:eastAsiaTheme="minorEastAsia" w:hAnsiTheme="minorHAnsi"/>
                <w:noProof/>
                <w:szCs w:val="22"/>
                <w:lang w:eastAsia="fr-FR"/>
              </w:rPr>
              <w:tab/>
            </w:r>
            <w:r w:rsidRPr="00EE3B2C">
              <w:rPr>
                <w:rStyle w:val="Lienhypertexte"/>
                <w:noProof/>
              </w:rPr>
              <w:t>Complétude et qualité des données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_Toc185581252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55E3" w:rsidRDefault="00B655E3">
          <w:pPr>
            <w:pStyle w:val="TM1"/>
            <w:tabs>
              <w:tab w:val="left" w:pos="440"/>
              <w:tab w:val="right" w:leader="dot" w:pos="9968"/>
            </w:tabs>
            <w:rPr>
              <w:rFonts w:asciiTheme="minorHAnsi" w:eastAsiaTheme="minorEastAsia" w:hAnsiTheme="minorHAnsi"/>
              <w:noProof/>
              <w:szCs w:val="22"/>
              <w:lang w:eastAsia="fr-FR"/>
            </w:rPr>
          </w:pPr>
          <w:hyperlink w:anchor="_Toc185581253" w:history="1">
            <w:r w:rsidRPr="00EE3B2C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Cs w:val="22"/>
                <w:lang w:eastAsia="fr-FR"/>
              </w:rPr>
              <w:tab/>
            </w:r>
            <w:r w:rsidRPr="00EE3B2C">
              <w:rPr>
                <w:rStyle w:val="Lienhypertexte"/>
                <w:noProof/>
              </w:rPr>
              <w:t>Dictionnaire des données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_Toc185581253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E6ECD" w:rsidRDefault="00AE6ECD">
          <w:r>
            <w:rPr>
              <w:b/>
              <w:bCs/>
            </w:rPr>
            <w:fldChar w:fldCharType="end"/>
          </w:r>
        </w:p>
      </w:sdtContent>
    </w:sdt>
    <w:p w:rsidR="00AE6ECD" w:rsidRPr="000E388C" w:rsidRDefault="00AE6ECD" w:rsidP="00AE6ECD"/>
    <w:p w:rsidR="000E388C" w:rsidRPr="000E388C" w:rsidRDefault="000E388C" w:rsidP="000E388C">
      <w:r w:rsidRPr="000E388C">
        <w:br w:type="page"/>
      </w:r>
      <w:bookmarkStart w:id="1" w:name="_GoBack"/>
      <w:bookmarkEnd w:id="1"/>
    </w:p>
    <w:p w:rsidR="00AE6ECD" w:rsidRDefault="00894E6E" w:rsidP="00AE6ECD">
      <w:pPr>
        <w:pStyle w:val="DIETitre1Rapport"/>
      </w:pPr>
      <w:bookmarkStart w:id="2" w:name="_Toc185581249"/>
      <w:r>
        <w:lastRenderedPageBreak/>
        <w:t>Périmètre, contexte et sources du jeu de données relatif au parc immobilier de l’Etat</w:t>
      </w:r>
      <w:bookmarkEnd w:id="2"/>
    </w:p>
    <w:p w:rsidR="00AE6ECD" w:rsidRPr="00AE6ECD" w:rsidRDefault="00894E6E" w:rsidP="00AE6ECD">
      <w:pPr>
        <w:pStyle w:val="DIETitre2Rapport"/>
      </w:pPr>
      <w:bookmarkStart w:id="3" w:name="_Toc185581250"/>
      <w:r>
        <w:t>Périmètre du jeu de données</w:t>
      </w:r>
      <w:bookmarkEnd w:id="3"/>
    </w:p>
    <w:p w:rsidR="00894E6E" w:rsidRDefault="00894E6E" w:rsidP="00894E6E">
      <w:r w:rsidRPr="00894E6E">
        <w:t>Ce jeu de données</w:t>
      </w:r>
      <w:r w:rsidR="00DC448D">
        <w:t>,</w:t>
      </w:r>
      <w:r w:rsidRPr="00894E6E">
        <w:t xml:space="preserve"> produit par la direction de l’immobilier de l’État</w:t>
      </w:r>
      <w:r w:rsidR="00DC448D">
        <w:t>,</w:t>
      </w:r>
      <w:r w:rsidRPr="00894E6E">
        <w:t xml:space="preserve"> présen</w:t>
      </w:r>
      <w:r>
        <w:t xml:space="preserve">te la liste détaillée des biens </w:t>
      </w:r>
      <w:r w:rsidRPr="00894E6E">
        <w:t>immobiliers (hors données confidentielles) dont l’État (services de l’État et établi</w:t>
      </w:r>
      <w:r>
        <w:t xml:space="preserve">ssements publics nationaux) est </w:t>
      </w:r>
      <w:r w:rsidRPr="00894E6E">
        <w:t>propriétaire et/ou occupant, que ces biens soient ou non-inscrits à l’acti</w:t>
      </w:r>
      <w:r>
        <w:t xml:space="preserve">f du bilan comptable de l’État, </w:t>
      </w:r>
      <w:r w:rsidR="00DC448D">
        <w:t>complétée</w:t>
      </w:r>
      <w:r w:rsidRPr="00894E6E">
        <w:t xml:space="preserve"> de différentes informations relatives à ces biens. Ces données</w:t>
      </w:r>
      <w:r>
        <w:t xml:space="preserve"> sont contenues dans le système </w:t>
      </w:r>
      <w:r w:rsidRPr="00894E6E">
        <w:t>d’information immobilier de l’Etat piloté par la direction de l’immobilier de l’État.</w:t>
      </w:r>
    </w:p>
    <w:p w:rsidR="00E34B1C" w:rsidRDefault="00E34B1C" w:rsidP="00E34B1C">
      <w:pPr>
        <w:autoSpaceDE w:val="0"/>
        <w:autoSpaceDN w:val="0"/>
        <w:adjustRightInd w:val="0"/>
        <w:spacing w:before="0" w:after="0"/>
        <w:jc w:val="left"/>
      </w:pPr>
      <w:r>
        <w:t>Des données de consommations énergétiques, destination et usages des biens</w:t>
      </w:r>
      <w:r w:rsidR="00DC448D">
        <w:t>,</w:t>
      </w:r>
      <w:r>
        <w:t xml:space="preserve"> viennent compléter cet inventaire. C’est notamment le cas du</w:t>
      </w:r>
      <w:r w:rsidRPr="00E34B1C">
        <w:t xml:space="preserve"> type d’énergie utilisé pour le chauffage des bâtiments propriété de l’État et leurs surfaces</w:t>
      </w:r>
      <w:r>
        <w:t xml:space="preserve">, en application </w:t>
      </w:r>
      <w:r w:rsidRPr="00E34B1C">
        <w:t>de la mesure 13 de l’annexe à la circulaire du Premier ministre n° 6145/SG du 25 février 2020 relative aux engagements de l’État pour des services publics écoresponsables.</w:t>
      </w:r>
    </w:p>
    <w:p w:rsidR="00E34B1C" w:rsidRDefault="00E34B1C" w:rsidP="00E34B1C">
      <w:pPr>
        <w:autoSpaceDE w:val="0"/>
        <w:autoSpaceDN w:val="0"/>
        <w:adjustRightInd w:val="0"/>
        <w:spacing w:before="0" w:after="0"/>
        <w:jc w:val="left"/>
      </w:pPr>
    </w:p>
    <w:p w:rsidR="00E34B1C" w:rsidRDefault="00E34B1C" w:rsidP="00E34B1C">
      <w:pPr>
        <w:autoSpaceDE w:val="0"/>
        <w:autoSpaceDN w:val="0"/>
        <w:adjustRightInd w:val="0"/>
        <w:spacing w:before="0" w:after="0"/>
        <w:jc w:val="left"/>
      </w:pPr>
      <w:r>
        <w:t xml:space="preserve">Cette restitution, en date de référence du 31/12/2022, permet de réactualiser la précédente publication du parc immobilier de l’Etat, </w:t>
      </w:r>
      <w:r w:rsidR="00DC448D">
        <w:t>au</w:t>
      </w:r>
      <w:r>
        <w:t xml:space="preserve"> 31/12/2021</w:t>
      </w:r>
      <w:r w:rsidR="00DC448D">
        <w:t>,</w:t>
      </w:r>
      <w:r>
        <w:t xml:space="preserve"> pour les ministères suivants</w:t>
      </w:r>
      <w:r>
        <w:rPr>
          <w:rFonts w:ascii="Calibri" w:hAnsi="Calibri" w:cs="Calibri"/>
        </w:rPr>
        <w:t> </w:t>
      </w:r>
      <w:r>
        <w:t>:</w:t>
      </w:r>
    </w:p>
    <w:p w:rsidR="00E34B1C" w:rsidRPr="00E34B1C" w:rsidRDefault="00E34B1C" w:rsidP="00E34B1C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szCs w:val="22"/>
        </w:rPr>
      </w:pPr>
      <w:r>
        <w:t>Agriculture</w:t>
      </w:r>
    </w:p>
    <w:p w:rsidR="00E34B1C" w:rsidRPr="00E34B1C" w:rsidRDefault="00E34B1C" w:rsidP="00E34B1C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szCs w:val="22"/>
        </w:rPr>
      </w:pPr>
      <w:r>
        <w:t>Culture</w:t>
      </w:r>
    </w:p>
    <w:p w:rsidR="00E34B1C" w:rsidRPr="00E34B1C" w:rsidRDefault="00E34B1C" w:rsidP="00E34B1C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szCs w:val="22"/>
        </w:rPr>
      </w:pPr>
      <w:r>
        <w:t>Justice</w:t>
      </w:r>
    </w:p>
    <w:p w:rsidR="00DC448D" w:rsidRPr="00DC448D" w:rsidRDefault="00DC448D" w:rsidP="00E34B1C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szCs w:val="22"/>
        </w:rPr>
      </w:pPr>
      <w:r>
        <w:t>Education Nationale</w:t>
      </w:r>
    </w:p>
    <w:p w:rsidR="00DC448D" w:rsidRPr="00DC448D" w:rsidRDefault="00DC448D" w:rsidP="00E34B1C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szCs w:val="22"/>
        </w:rPr>
      </w:pPr>
      <w:r>
        <w:t>Affaires Etrangères</w:t>
      </w:r>
    </w:p>
    <w:p w:rsidR="00DC448D" w:rsidRPr="00DC448D" w:rsidRDefault="00DC448D" w:rsidP="00E34B1C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szCs w:val="22"/>
        </w:rPr>
      </w:pPr>
      <w:r>
        <w:t>Affaires Sociales</w:t>
      </w:r>
    </w:p>
    <w:p w:rsidR="00E34B1C" w:rsidRPr="00DC448D" w:rsidRDefault="00E34B1C" w:rsidP="00DC448D">
      <w:p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szCs w:val="22"/>
        </w:rPr>
      </w:pPr>
      <w:r>
        <w:t xml:space="preserve">Elle fera prochainement l’objet d’une mise à jour, afin d’y intégrer les données des ministères </w:t>
      </w:r>
      <w:r w:rsidR="00DC448D">
        <w:t>non repris dans la liste ci-dessus.</w:t>
      </w:r>
      <w:r>
        <w:t xml:space="preserve"> </w:t>
      </w:r>
    </w:p>
    <w:p w:rsidR="00AE6ECD" w:rsidRPr="00AE6ECD" w:rsidRDefault="00DC448D" w:rsidP="00AE6ECD">
      <w:pPr>
        <w:pStyle w:val="DIETitre2Rapport"/>
      </w:pPr>
      <w:bookmarkStart w:id="4" w:name="_Toc185581251"/>
      <w:r>
        <w:t>Contexte de la production du jeu de données et sources des données publiées</w:t>
      </w:r>
      <w:bookmarkEnd w:id="4"/>
    </w:p>
    <w:p w:rsidR="00DC448D" w:rsidRPr="00DC448D" w:rsidRDefault="0022072C" w:rsidP="00DC448D">
      <w:r>
        <w:t>Au 31 décembre 2022, l</w:t>
      </w:r>
      <w:r w:rsidR="00DC448D" w:rsidRPr="00DC448D">
        <w:t>’État et ses établissements publics occupent un pat</w:t>
      </w:r>
      <w:r w:rsidR="004C0488">
        <w:t>ri</w:t>
      </w:r>
      <w:r>
        <w:t>moine immobilier de près de 94</w:t>
      </w:r>
      <w:r w:rsidR="00DC448D" w:rsidRPr="00DC448D">
        <w:t xml:space="preserve"> millions de m² de sur</w:t>
      </w:r>
      <w:r w:rsidR="00DC448D">
        <w:t xml:space="preserve">face </w:t>
      </w:r>
      <w:r w:rsidR="00DC448D" w:rsidRPr="00DC448D">
        <w:t xml:space="preserve">bâtie et </w:t>
      </w:r>
      <w:r>
        <w:t xml:space="preserve">environ </w:t>
      </w:r>
      <w:r w:rsidR="00DC448D" w:rsidRPr="00DC448D">
        <w:t>40 000 km² de terrains non bâtis</w:t>
      </w:r>
      <w:r w:rsidR="00264327">
        <w:t xml:space="preserve"> (contenance cadastrale)</w:t>
      </w:r>
      <w:r w:rsidR="00DC448D" w:rsidRPr="00DC448D">
        <w:t xml:space="preserve"> pour l’exécution de leurs missions de service public.</w:t>
      </w:r>
    </w:p>
    <w:p w:rsidR="00DC448D" w:rsidRPr="00DC448D" w:rsidRDefault="00DC448D" w:rsidP="00DC448D">
      <w:r w:rsidRPr="00DC448D">
        <w:t>La gestion de ce parc immobilier est une fonction support et d’appui aux services de</w:t>
      </w:r>
      <w:r>
        <w:t xml:space="preserve"> l’État et à ses établissements </w:t>
      </w:r>
      <w:r w:rsidRPr="00DC448D">
        <w:t>publics qui a vocation à s’incarner dans une politique publique à part entière.</w:t>
      </w:r>
    </w:p>
    <w:p w:rsidR="00DC448D" w:rsidRPr="00DC448D" w:rsidRDefault="00DC448D" w:rsidP="00DC448D">
      <w:r w:rsidRPr="00DC448D">
        <w:t>La politique immobilière de l’État est une politique interministérielle mis</w:t>
      </w:r>
      <w:r>
        <w:t xml:space="preserve">e en </w:t>
      </w:r>
      <w:r w:rsidR="009460AD">
        <w:t>œuvre</w:t>
      </w:r>
      <w:r>
        <w:t xml:space="preserve"> par la Direction de </w:t>
      </w:r>
      <w:r w:rsidRPr="00DC448D">
        <w:t>l’Immobilier de l’État. La fonction d’État propriétaire est exercée par ce service et, au niveau territorial</w:t>
      </w:r>
      <w:r>
        <w:t xml:space="preserve">, par les </w:t>
      </w:r>
      <w:r w:rsidRPr="00DC448D">
        <w:t>préfets, représentants locaux de l’État propriétaire.</w:t>
      </w:r>
    </w:p>
    <w:p w:rsidR="00DC448D" w:rsidRPr="00DC448D" w:rsidRDefault="00DC448D" w:rsidP="00DC448D">
      <w:r w:rsidRPr="00DC448D">
        <w:t>La politique immobilière de l’État a plusieurs finalités :</w:t>
      </w:r>
    </w:p>
    <w:p w:rsidR="009460AD" w:rsidRDefault="009460AD" w:rsidP="009460AD">
      <w:pPr>
        <w:pStyle w:val="Paragraphedeliste"/>
        <w:numPr>
          <w:ilvl w:val="0"/>
          <w:numId w:val="19"/>
        </w:numPr>
      </w:pPr>
      <w:r w:rsidRPr="00DC448D">
        <w:t>Permettre à chaque administration de réaliser ses missions dans les me</w:t>
      </w:r>
      <w:r>
        <w:t xml:space="preserve">illeures conditions au meilleur </w:t>
      </w:r>
      <w:r w:rsidRPr="00DC448D">
        <w:t>coût pour la collectivité ;</w:t>
      </w:r>
    </w:p>
    <w:p w:rsidR="003C68DD" w:rsidRDefault="00DC448D" w:rsidP="003C68DD">
      <w:pPr>
        <w:pStyle w:val="Paragraphedeliste"/>
        <w:numPr>
          <w:ilvl w:val="0"/>
          <w:numId w:val="19"/>
        </w:numPr>
      </w:pPr>
      <w:r w:rsidRPr="00DC448D">
        <w:t>Mieux gérer le patrimoine de l’État pour en conserver la valeur par un entretien régulier, en réduire les</w:t>
      </w:r>
      <w:r>
        <w:t xml:space="preserve"> </w:t>
      </w:r>
      <w:r w:rsidRPr="00DC448D">
        <w:t>coûts de fonctionnement et pouvoir le céder au meilleur prix, quand les biens ne sont plus utiles pour le</w:t>
      </w:r>
      <w:r>
        <w:t xml:space="preserve"> </w:t>
      </w:r>
      <w:r w:rsidRPr="00DC448D">
        <w:t>service public ;</w:t>
      </w:r>
    </w:p>
    <w:p w:rsidR="003C68DD" w:rsidRDefault="00DC448D" w:rsidP="003C68DD">
      <w:pPr>
        <w:pStyle w:val="Paragraphedeliste"/>
        <w:numPr>
          <w:ilvl w:val="0"/>
          <w:numId w:val="19"/>
        </w:numPr>
      </w:pPr>
      <w:r w:rsidRPr="00DC448D">
        <w:t>Améliorer les conditions de travail des agents publics et les conditions d'</w:t>
      </w:r>
      <w:r>
        <w:t xml:space="preserve">accès et de réception du public </w:t>
      </w:r>
      <w:r w:rsidRPr="00DC448D">
        <w:t>en adaptant l'immobilier de l'État aux besoins du service public ;</w:t>
      </w:r>
    </w:p>
    <w:p w:rsidR="00DC448D" w:rsidRPr="00DC448D" w:rsidRDefault="00DC448D" w:rsidP="003C68DD">
      <w:pPr>
        <w:pStyle w:val="Paragraphedeliste"/>
        <w:numPr>
          <w:ilvl w:val="0"/>
          <w:numId w:val="19"/>
        </w:numPr>
      </w:pPr>
      <w:r w:rsidRPr="00DC448D">
        <w:t>Poursuivre l’intégration dans la définition de la politique immobilière de l’Éta</w:t>
      </w:r>
      <w:r>
        <w:t xml:space="preserve">t des objectifs d’intérêt </w:t>
      </w:r>
      <w:r w:rsidRPr="00DC448D">
        <w:t xml:space="preserve">général comme la performance énergétique des bâtiments, leur </w:t>
      </w:r>
      <w:r>
        <w:lastRenderedPageBreak/>
        <w:t xml:space="preserve">accessibilité par les personnes </w:t>
      </w:r>
      <w:r w:rsidRPr="00DC448D">
        <w:t>handicapées ou bien la mobilisation du foncier public en faveur du logement.</w:t>
      </w:r>
    </w:p>
    <w:p w:rsidR="00DC448D" w:rsidRPr="00DC448D" w:rsidRDefault="00DC448D" w:rsidP="00DC448D">
      <w:r w:rsidRPr="00DC448D">
        <w:t>Dans ce cadre, la direction de l’immobilier de l’Etat a l’obligation de tenir un i</w:t>
      </w:r>
      <w:r>
        <w:t xml:space="preserve">nventaire du parc immobilier de </w:t>
      </w:r>
      <w:r w:rsidRPr="00DC448D">
        <w:t>l’Etat, dans une double finalité de connaissance du parc immobilier pour les beso</w:t>
      </w:r>
      <w:r>
        <w:t xml:space="preserve">ins de la politique immobilière </w:t>
      </w:r>
      <w:r w:rsidRPr="00DC448D">
        <w:t>de l’Etat et de comptabilisation des actifs immobiliers au bilan de l’Etat.</w:t>
      </w:r>
    </w:p>
    <w:p w:rsidR="00DC448D" w:rsidRPr="00DC448D" w:rsidRDefault="00DC448D" w:rsidP="00DC448D">
      <w:r w:rsidRPr="00DC448D">
        <w:t>Cette obligation découle de deux textes :</w:t>
      </w:r>
    </w:p>
    <w:p w:rsidR="003C68DD" w:rsidRDefault="00DC448D" w:rsidP="00DC448D">
      <w:pPr>
        <w:pStyle w:val="Paragraphedeliste"/>
        <w:numPr>
          <w:ilvl w:val="0"/>
          <w:numId w:val="18"/>
        </w:numPr>
      </w:pPr>
      <w:r w:rsidRPr="00DC448D">
        <w:t>Le code général de la propriété des personnes publiques (CG3P</w:t>
      </w:r>
      <w:r>
        <w:t xml:space="preserve">) dans une optique de politique </w:t>
      </w:r>
      <w:r w:rsidRPr="00DC448D">
        <w:t>immobilière de l'État (PIE). Le périmètre fixé par le CG3P inclut les biens p</w:t>
      </w:r>
      <w:r>
        <w:t xml:space="preserve">ropriétés et/ou occupés par les </w:t>
      </w:r>
      <w:r w:rsidRPr="00DC448D">
        <w:t>services de l'État et/ou des EPN ;</w:t>
      </w:r>
    </w:p>
    <w:p w:rsidR="003C68DD" w:rsidRDefault="003C68DD" w:rsidP="00DC448D">
      <w:pPr>
        <w:pStyle w:val="Paragraphedeliste"/>
        <w:numPr>
          <w:ilvl w:val="0"/>
          <w:numId w:val="18"/>
        </w:numPr>
      </w:pPr>
      <w:r w:rsidRPr="003C68DD">
        <w:t>La loi organique relative aux lois de finances afin d’alimenter les comptes de l'État.</w:t>
      </w:r>
    </w:p>
    <w:p w:rsidR="003C68DD" w:rsidRDefault="003C68DD" w:rsidP="00DC448D"/>
    <w:p w:rsidR="003C68DD" w:rsidRPr="000C1E9E" w:rsidRDefault="003C68DD" w:rsidP="000C1E9E">
      <w:r w:rsidRPr="000C1E9E">
        <w:t>L’inventaire immobilier consiste à décrire les biens immobiliers qui sont propriété de l’</w:t>
      </w:r>
      <w:r w:rsidR="000C1E9E" w:rsidRPr="000C1E9E">
        <w:t xml:space="preserve">Etat, ainsi que ceux qui </w:t>
      </w:r>
      <w:r w:rsidRPr="000C1E9E">
        <w:t>sont occupés par ses services sur le territoire national ou à l’étranger.</w:t>
      </w:r>
    </w:p>
    <w:p w:rsidR="003C68DD" w:rsidRPr="000C1E9E" w:rsidRDefault="003C68DD" w:rsidP="000C1E9E">
      <w:r w:rsidRPr="000C1E9E">
        <w:t>Au sein de cet inventaire physique, l’Etat estime chaque année la valeur des biens qu’</w:t>
      </w:r>
      <w:r w:rsidR="000C1E9E" w:rsidRPr="000C1E9E">
        <w:t xml:space="preserve">il contrôle (dont il maîtrise </w:t>
      </w:r>
      <w:r w:rsidRPr="000C1E9E">
        <w:t>les avantages économiques ou le potentiel de services futurs).</w:t>
      </w:r>
    </w:p>
    <w:p w:rsidR="003C68DD" w:rsidRPr="000C1E9E" w:rsidRDefault="003C68DD" w:rsidP="000C1E9E">
      <w:r w:rsidRPr="000C1E9E">
        <w:t>Les données de l’inventaire immobilier permettent d’alimenter d’une part les outil</w:t>
      </w:r>
      <w:r w:rsidR="000C1E9E" w:rsidRPr="000C1E9E">
        <w:t xml:space="preserve">s informatiques de la politique </w:t>
      </w:r>
      <w:r w:rsidRPr="000C1E9E">
        <w:t xml:space="preserve">immobilière de l’Etat et d’autre part l’actif de l’Etat retracé à son bilan dans </w:t>
      </w:r>
      <w:r w:rsidR="000C1E9E" w:rsidRPr="000C1E9E">
        <w:t xml:space="preserve">les immobilisations corporelles </w:t>
      </w:r>
      <w:r w:rsidRPr="000C1E9E">
        <w:t>chaque fin d’année, pour les biens contrôlés.</w:t>
      </w:r>
    </w:p>
    <w:p w:rsidR="003C68DD" w:rsidRPr="000C1E9E" w:rsidRDefault="003C68DD" w:rsidP="000C1E9E">
      <w:r w:rsidRPr="000C1E9E">
        <w:t xml:space="preserve">Le support informatique de cet inventaire immobilier est le module RE-Fx </w:t>
      </w:r>
      <w:r w:rsidR="000C1E9E" w:rsidRPr="000C1E9E">
        <w:t xml:space="preserve">de Chorus géré dans le cadre du </w:t>
      </w:r>
      <w:r w:rsidRPr="000C1E9E">
        <w:t>système d’information financière de l'État (SIFE) et piloté par l’AIFE.</w:t>
      </w:r>
    </w:p>
    <w:p w:rsidR="003C68DD" w:rsidRDefault="003C68DD" w:rsidP="000C1E9E">
      <w:r w:rsidRPr="000C1E9E">
        <w:t>En complément de cet inventaire physique du parc immobilier de l’Etat, la direction de l’immobilier de l’</w:t>
      </w:r>
      <w:r w:rsidR="000C1E9E" w:rsidRPr="000C1E9E">
        <w:t xml:space="preserve">Etat </w:t>
      </w:r>
      <w:r w:rsidRPr="000C1E9E">
        <w:t>dispose de l’application Référentiel Technique (RT), servie par les gestionnaire</w:t>
      </w:r>
      <w:r w:rsidR="000C1E9E" w:rsidRPr="000C1E9E">
        <w:t xml:space="preserve">s immobiliers des ministères et </w:t>
      </w:r>
      <w:r w:rsidRPr="000C1E9E">
        <w:t xml:space="preserve">des établissements publics de l’Etat pour les besoins de la mise en </w:t>
      </w:r>
      <w:r w:rsidR="000C1E9E" w:rsidRPr="000C1E9E">
        <w:t>œuvre</w:t>
      </w:r>
      <w:r w:rsidRPr="000C1E9E">
        <w:t xml:space="preserve"> de la politique immobilière de l’Etat,</w:t>
      </w:r>
      <w:r w:rsidR="000C1E9E" w:rsidRPr="000C1E9E">
        <w:t xml:space="preserve"> </w:t>
      </w:r>
      <w:r w:rsidRPr="000C1E9E">
        <w:t>qui porte les informations sur l’état technique, réglementaire et d’occu</w:t>
      </w:r>
      <w:r w:rsidR="000C1E9E" w:rsidRPr="000C1E9E">
        <w:t xml:space="preserve">pation ainsi que les données de </w:t>
      </w:r>
      <w:r w:rsidRPr="000C1E9E">
        <w:t>consommation énergétique (provenant notamment de l’outil de suivi des fluides i</w:t>
      </w:r>
      <w:r w:rsidR="000C1E9E" w:rsidRPr="000C1E9E">
        <w:t xml:space="preserve">nterministériel - </w:t>
      </w:r>
      <w:proofErr w:type="spellStart"/>
      <w:r w:rsidR="000C1E9E" w:rsidRPr="000C1E9E">
        <w:t>OSFi</w:t>
      </w:r>
      <w:proofErr w:type="spellEnd"/>
      <w:r w:rsidR="000C1E9E" w:rsidRPr="000C1E9E">
        <w:t xml:space="preserve">) du parc </w:t>
      </w:r>
      <w:r w:rsidRPr="000C1E9E">
        <w:t>immobilier.</w:t>
      </w:r>
    </w:p>
    <w:p w:rsidR="000C1E9E" w:rsidRPr="000C1E9E" w:rsidRDefault="000C1E9E" w:rsidP="000C1E9E"/>
    <w:p w:rsidR="000C1E9E" w:rsidRDefault="000C1E9E" w:rsidP="000C1E9E">
      <w:pPr>
        <w:pStyle w:val="DIETitre2Rapport"/>
      </w:pPr>
      <w:bookmarkStart w:id="5" w:name="_Toc185581252"/>
      <w:r w:rsidRPr="000C1E9E">
        <w:t>Complétude et qualité des données</w:t>
      </w:r>
      <w:bookmarkEnd w:id="5"/>
    </w:p>
    <w:p w:rsidR="000C1E9E" w:rsidRPr="000C1E9E" w:rsidRDefault="000C1E9E" w:rsidP="000C1E9E">
      <w:r w:rsidRPr="000C1E9E">
        <w:t>Le Système d’Information de l’Immobilier de l’Etat (SIIE) se construit pro</w:t>
      </w:r>
      <w:r>
        <w:t xml:space="preserve">gressivement depuis 2009 et son </w:t>
      </w:r>
      <w:r w:rsidRPr="000C1E9E">
        <w:t>système de collecte et d’enrichissement</w:t>
      </w:r>
      <w:r>
        <w:t xml:space="preserve"> de données continue d’évoluer. La publication Parc </w:t>
      </w:r>
      <w:r w:rsidRPr="000C1E9E">
        <w:t xml:space="preserve">immobilier de l’Etat donne une vision </w:t>
      </w:r>
      <w:proofErr w:type="spellStart"/>
      <w:r w:rsidRPr="000C1E9E">
        <w:t>bâtimentaire</w:t>
      </w:r>
      <w:proofErr w:type="spellEnd"/>
      <w:r w:rsidRPr="000C1E9E">
        <w:t xml:space="preserve"> du parc</w:t>
      </w:r>
      <w:r>
        <w:t xml:space="preserve">, </w:t>
      </w:r>
      <w:r w:rsidRPr="000C1E9E">
        <w:t>alimentée principalement par les données issues du module RE-Fx de Choru</w:t>
      </w:r>
      <w:r>
        <w:t xml:space="preserve">s, et enrichie de données issues de </w:t>
      </w:r>
      <w:r w:rsidRPr="000C1E9E">
        <w:t>l’application RT.</w:t>
      </w:r>
    </w:p>
    <w:p w:rsidR="000C1E9E" w:rsidRPr="000C1E9E" w:rsidRDefault="000C1E9E" w:rsidP="000C1E9E">
      <w:r>
        <w:t>Certaines</w:t>
      </w:r>
      <w:r w:rsidRPr="000C1E9E">
        <w:t xml:space="preserve"> données sont obligatoires, d’autres dépendent des efforts de</w:t>
      </w:r>
      <w:r>
        <w:t xml:space="preserve"> </w:t>
      </w:r>
      <w:r w:rsidRPr="000C1E9E">
        <w:t>fiabilisation des services et opérateurs de l’Etat ou de campagnes de fiabilisation conduites sous l’impulsion de</w:t>
      </w:r>
      <w:r>
        <w:t xml:space="preserve"> </w:t>
      </w:r>
      <w:r w:rsidRPr="000C1E9E">
        <w:t>la DIE (déploiement de l’OSFI, reprise de données du système d’information</w:t>
      </w:r>
      <w:r>
        <w:t xml:space="preserve"> d’un ministère ou opérateur de </w:t>
      </w:r>
      <w:r w:rsidRPr="000C1E9E">
        <w:t>l’Etat, …). Le taux de complétude peut donc varier selon les données considérées.</w:t>
      </w:r>
      <w:r>
        <w:t xml:space="preserve"> Des données telles que le type </w:t>
      </w:r>
      <w:r w:rsidRPr="000C1E9E">
        <w:t>de chauffage, la consommation énergétique des bâtiments, la réalisation du tri d</w:t>
      </w:r>
      <w:r>
        <w:t xml:space="preserve">es déchets, ou l’identification </w:t>
      </w:r>
      <w:r w:rsidRPr="000C1E9E">
        <w:t>des établissements recevant du public ne sont pas aujourd’hui renseignées de manière exhaustive.</w:t>
      </w:r>
    </w:p>
    <w:p w:rsidR="005F02C0" w:rsidRDefault="000C1E9E" w:rsidP="00E203F0">
      <w:pPr>
        <w:rPr>
          <w:rFonts w:ascii="Calibri" w:hAnsi="Calibri" w:cs="Calibri"/>
          <w:szCs w:val="22"/>
        </w:rPr>
      </w:pPr>
      <w:r>
        <w:t>L’exposition en Open Data</w:t>
      </w:r>
      <w:r w:rsidRPr="000C1E9E">
        <w:t xml:space="preserve"> des données du pa</w:t>
      </w:r>
      <w:r>
        <w:t xml:space="preserve">rc immobilier de l’État doit </w:t>
      </w:r>
      <w:r w:rsidRPr="000C1E9E">
        <w:t>participer à améliorer la quantité et la qualité des données renseignées. C</w:t>
      </w:r>
      <w:r>
        <w:t xml:space="preserve">ette démarche s’inscrit dans la </w:t>
      </w:r>
      <w:r w:rsidRPr="000C1E9E">
        <w:t>continuité des efforts de fiabilisation fournis par les services des ministères o</w:t>
      </w:r>
      <w:r>
        <w:t xml:space="preserve">u les opérateurs de l’État. </w:t>
      </w:r>
    </w:p>
    <w:p w:rsidR="00AE6ECD" w:rsidRDefault="00E203F0" w:rsidP="00AE6ECD">
      <w:pPr>
        <w:pStyle w:val="DIETitre1Rapport"/>
      </w:pPr>
      <w:bookmarkStart w:id="6" w:name="_Toc185581253"/>
      <w:r>
        <w:lastRenderedPageBreak/>
        <w:t>Dictionnaire des données</w:t>
      </w:r>
      <w:bookmarkEnd w:id="6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4962"/>
        <w:gridCol w:w="2176"/>
      </w:tblGrid>
      <w:tr w:rsidR="00E203F0" w:rsidTr="005F02C0">
        <w:trPr>
          <w:tblHeader/>
        </w:trPr>
        <w:tc>
          <w:tcPr>
            <w:tcW w:w="2830" w:type="dxa"/>
          </w:tcPr>
          <w:p w:rsidR="00E203F0" w:rsidRPr="008B689C" w:rsidRDefault="00E203F0" w:rsidP="00AE6ECD">
            <w:pPr>
              <w:rPr>
                <w:sz w:val="18"/>
                <w:szCs w:val="18"/>
              </w:rPr>
            </w:pPr>
            <w:r w:rsidRPr="008B689C">
              <w:rPr>
                <w:rFonts w:cs="Calibri-Bold"/>
                <w:b/>
                <w:bCs/>
                <w:sz w:val="18"/>
                <w:szCs w:val="18"/>
              </w:rPr>
              <w:t>Nom</w:t>
            </w:r>
          </w:p>
        </w:tc>
        <w:tc>
          <w:tcPr>
            <w:tcW w:w="4962" w:type="dxa"/>
          </w:tcPr>
          <w:p w:rsidR="00E203F0" w:rsidRPr="008B689C" w:rsidRDefault="00E203F0" w:rsidP="00AE6ECD">
            <w:pPr>
              <w:rPr>
                <w:sz w:val="18"/>
                <w:szCs w:val="18"/>
              </w:rPr>
            </w:pPr>
            <w:r w:rsidRPr="008B689C">
              <w:rPr>
                <w:rFonts w:cs="Calibri-Bold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2176" w:type="dxa"/>
          </w:tcPr>
          <w:p w:rsidR="00E203F0" w:rsidRPr="008B689C" w:rsidRDefault="00E203F0" w:rsidP="00AE6ECD">
            <w:pPr>
              <w:rPr>
                <w:sz w:val="18"/>
                <w:szCs w:val="18"/>
              </w:rPr>
            </w:pPr>
            <w:r w:rsidRPr="008B689C">
              <w:rPr>
                <w:rFonts w:cs="Calibri-Bold"/>
                <w:b/>
                <w:bCs/>
                <w:sz w:val="18"/>
                <w:szCs w:val="18"/>
              </w:rPr>
              <w:t>Source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5F02C0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 xml:space="preserve">Code Chorus </w:t>
            </w:r>
          </w:p>
        </w:tc>
        <w:tc>
          <w:tcPr>
            <w:tcW w:w="4962" w:type="dxa"/>
          </w:tcPr>
          <w:p w:rsidR="00E203F0" w:rsidRPr="005F02C0" w:rsidRDefault="008B689C" w:rsidP="005F02C0">
            <w:pPr>
              <w:rPr>
                <w:rFonts w:cs="Calibri"/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Codes Chorus REFX d’identification des bâtiments et terrains: concaténation code région/code site/code bâtiment ou terrain</w:t>
            </w:r>
          </w:p>
        </w:tc>
        <w:tc>
          <w:tcPr>
            <w:tcW w:w="2176" w:type="dxa"/>
          </w:tcPr>
          <w:p w:rsidR="00E203F0" w:rsidRPr="005F02C0" w:rsidRDefault="008B689C" w:rsidP="008B689C">
            <w:pPr>
              <w:jc w:val="left"/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Chorus RE-Fx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8B689C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 xml:space="preserve">ID </w:t>
            </w:r>
          </w:p>
        </w:tc>
        <w:tc>
          <w:tcPr>
            <w:tcW w:w="4962" w:type="dxa"/>
          </w:tcPr>
          <w:p w:rsidR="00E203F0" w:rsidRPr="005F02C0" w:rsidRDefault="008B689C" w:rsidP="008B689C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 xml:space="preserve">Identifiant unique du bien </w:t>
            </w:r>
          </w:p>
        </w:tc>
        <w:tc>
          <w:tcPr>
            <w:tcW w:w="2176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Chorus RE-Fx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8B689C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 xml:space="preserve">Désignation site </w:t>
            </w:r>
          </w:p>
        </w:tc>
        <w:tc>
          <w:tcPr>
            <w:tcW w:w="4962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Libellé du site</w:t>
            </w:r>
          </w:p>
        </w:tc>
        <w:tc>
          <w:tcPr>
            <w:tcW w:w="2176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Chorus RE-Fx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8B689C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Désignation bâtiment/terrain</w:t>
            </w:r>
          </w:p>
        </w:tc>
        <w:tc>
          <w:tcPr>
            <w:tcW w:w="4962" w:type="dxa"/>
          </w:tcPr>
          <w:p w:rsidR="00E203F0" w:rsidRPr="005F02C0" w:rsidRDefault="008B689C" w:rsidP="008B689C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 xml:space="preserve">Libellé du bien </w:t>
            </w:r>
          </w:p>
        </w:tc>
        <w:tc>
          <w:tcPr>
            <w:tcW w:w="2176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Chorus RE-Fx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8B689C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 xml:space="preserve">Type </w:t>
            </w:r>
          </w:p>
        </w:tc>
        <w:tc>
          <w:tcPr>
            <w:tcW w:w="4962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Usage majoritaire du bien</w:t>
            </w:r>
          </w:p>
        </w:tc>
        <w:tc>
          <w:tcPr>
            <w:tcW w:w="2176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Chorus RE-Fx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8B689C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 xml:space="preserve">Fonction </w:t>
            </w:r>
          </w:p>
        </w:tc>
        <w:tc>
          <w:tcPr>
            <w:tcW w:w="4962" w:type="dxa"/>
          </w:tcPr>
          <w:p w:rsidR="00E203F0" w:rsidRPr="005F02C0" w:rsidRDefault="008B689C" w:rsidP="008B689C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 xml:space="preserve">Usage majoritaire détaillé du bien </w:t>
            </w:r>
          </w:p>
        </w:tc>
        <w:tc>
          <w:tcPr>
            <w:tcW w:w="2176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Chorus RE-Fx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8B689C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Adresse</w:t>
            </w:r>
          </w:p>
        </w:tc>
        <w:tc>
          <w:tcPr>
            <w:tcW w:w="4962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Adresse normalisée du bien (n° et rue)</w:t>
            </w:r>
          </w:p>
        </w:tc>
        <w:tc>
          <w:tcPr>
            <w:tcW w:w="2176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Chorus RE-Fx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Ville</w:t>
            </w:r>
          </w:p>
        </w:tc>
        <w:tc>
          <w:tcPr>
            <w:tcW w:w="4962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Ville de situation du bien</w:t>
            </w:r>
          </w:p>
        </w:tc>
        <w:tc>
          <w:tcPr>
            <w:tcW w:w="2176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Chorus RE-Fx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Département</w:t>
            </w:r>
          </w:p>
        </w:tc>
        <w:tc>
          <w:tcPr>
            <w:tcW w:w="4962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Code du département de situation du bien</w:t>
            </w:r>
          </w:p>
        </w:tc>
        <w:tc>
          <w:tcPr>
            <w:tcW w:w="2176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Chorus RE-Fx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Code postal</w:t>
            </w:r>
          </w:p>
        </w:tc>
        <w:tc>
          <w:tcPr>
            <w:tcW w:w="4962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Code postal de situation du bien</w:t>
            </w:r>
          </w:p>
        </w:tc>
        <w:tc>
          <w:tcPr>
            <w:tcW w:w="2176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Chorus RE-Fx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Code INSEE</w:t>
            </w:r>
          </w:p>
        </w:tc>
        <w:tc>
          <w:tcPr>
            <w:tcW w:w="4962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Code INSEE de situation du bien</w:t>
            </w:r>
          </w:p>
        </w:tc>
        <w:tc>
          <w:tcPr>
            <w:tcW w:w="2176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Chorus RE-Fx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Libellé nouvelle région</w:t>
            </w:r>
          </w:p>
        </w:tc>
        <w:tc>
          <w:tcPr>
            <w:tcW w:w="4962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Nom de la région</w:t>
            </w:r>
          </w:p>
        </w:tc>
        <w:tc>
          <w:tcPr>
            <w:tcW w:w="2176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Chorus RE-Fx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Pays</w:t>
            </w:r>
          </w:p>
        </w:tc>
        <w:tc>
          <w:tcPr>
            <w:tcW w:w="4962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Pays de situation du bien</w:t>
            </w:r>
          </w:p>
        </w:tc>
        <w:tc>
          <w:tcPr>
            <w:tcW w:w="2176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Chorus RE-Fx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Latitude</w:t>
            </w:r>
          </w:p>
        </w:tc>
        <w:tc>
          <w:tcPr>
            <w:tcW w:w="4962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Coordonnée de latitude du bien</w:t>
            </w:r>
          </w:p>
        </w:tc>
        <w:tc>
          <w:tcPr>
            <w:tcW w:w="2176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Référentiel Technique, IGN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Longitude</w:t>
            </w:r>
          </w:p>
        </w:tc>
        <w:tc>
          <w:tcPr>
            <w:tcW w:w="4962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Coordonnée de longitude du bien</w:t>
            </w:r>
          </w:p>
        </w:tc>
        <w:tc>
          <w:tcPr>
            <w:tcW w:w="2176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Référentiel Technique, IGN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Ministère</w:t>
            </w:r>
          </w:p>
        </w:tc>
        <w:tc>
          <w:tcPr>
            <w:tcW w:w="4962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Ministère occupant le bien</w:t>
            </w:r>
          </w:p>
        </w:tc>
        <w:tc>
          <w:tcPr>
            <w:tcW w:w="2176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Chorus RE-Fx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Libellé gestionnaire</w:t>
            </w:r>
          </w:p>
        </w:tc>
        <w:tc>
          <w:tcPr>
            <w:tcW w:w="4962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Libellé de l’occupant</w:t>
            </w:r>
          </w:p>
        </w:tc>
        <w:tc>
          <w:tcPr>
            <w:tcW w:w="2176" w:type="dxa"/>
          </w:tcPr>
          <w:p w:rsidR="00E203F0" w:rsidRPr="005F02C0" w:rsidRDefault="005F02C0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Chorus RE-Fx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Type gestionnaire</w:t>
            </w:r>
          </w:p>
        </w:tc>
        <w:tc>
          <w:tcPr>
            <w:tcW w:w="4962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Type de l’occupant</w:t>
            </w:r>
          </w:p>
        </w:tc>
        <w:tc>
          <w:tcPr>
            <w:tcW w:w="2176" w:type="dxa"/>
          </w:tcPr>
          <w:p w:rsidR="00E203F0" w:rsidRPr="005F02C0" w:rsidRDefault="005F02C0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Chorus RE-Fx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Libellé propriétaire</w:t>
            </w:r>
          </w:p>
        </w:tc>
        <w:tc>
          <w:tcPr>
            <w:tcW w:w="4962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Libellé du propriétaire</w:t>
            </w:r>
          </w:p>
        </w:tc>
        <w:tc>
          <w:tcPr>
            <w:tcW w:w="2176" w:type="dxa"/>
          </w:tcPr>
          <w:p w:rsidR="00E203F0" w:rsidRPr="005F02C0" w:rsidRDefault="005F02C0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Chorus RE-Fx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Type propriétaire</w:t>
            </w:r>
          </w:p>
        </w:tc>
        <w:tc>
          <w:tcPr>
            <w:tcW w:w="4962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Type du propriétaire</w:t>
            </w:r>
          </w:p>
        </w:tc>
        <w:tc>
          <w:tcPr>
            <w:tcW w:w="2176" w:type="dxa"/>
          </w:tcPr>
          <w:p w:rsidR="00E203F0" w:rsidRPr="005F02C0" w:rsidRDefault="005F02C0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Chorus RE-Fx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Surface</w:t>
            </w:r>
          </w:p>
        </w:tc>
        <w:tc>
          <w:tcPr>
            <w:tcW w:w="4962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Surface du bien (m²)</w:t>
            </w:r>
          </w:p>
        </w:tc>
        <w:tc>
          <w:tcPr>
            <w:tcW w:w="2176" w:type="dxa"/>
          </w:tcPr>
          <w:p w:rsidR="00E203F0" w:rsidRPr="005F02C0" w:rsidRDefault="005F02C0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Chorus RE-Fx, Référentiel Technique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Consommation</w:t>
            </w:r>
          </w:p>
        </w:tc>
        <w:tc>
          <w:tcPr>
            <w:tcW w:w="4962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Consommation énergétique du bien (kWh d’énergie finale)</w:t>
            </w:r>
          </w:p>
        </w:tc>
        <w:tc>
          <w:tcPr>
            <w:tcW w:w="2176" w:type="dxa"/>
          </w:tcPr>
          <w:p w:rsidR="00E203F0" w:rsidRPr="005F02C0" w:rsidRDefault="005F02C0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 xml:space="preserve">Référentiel Technique, </w:t>
            </w:r>
            <w:proofErr w:type="spellStart"/>
            <w:r w:rsidRPr="005F02C0">
              <w:rPr>
                <w:rFonts w:cs="Calibri"/>
                <w:sz w:val="16"/>
                <w:szCs w:val="16"/>
              </w:rPr>
              <w:t>OSFi</w:t>
            </w:r>
            <w:proofErr w:type="spellEnd"/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Type de chauffage</w:t>
            </w:r>
          </w:p>
        </w:tc>
        <w:tc>
          <w:tcPr>
            <w:tcW w:w="4962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Type de chauffage du bien</w:t>
            </w:r>
          </w:p>
        </w:tc>
        <w:tc>
          <w:tcPr>
            <w:tcW w:w="2176" w:type="dxa"/>
          </w:tcPr>
          <w:p w:rsidR="00E203F0" w:rsidRPr="005F02C0" w:rsidRDefault="005F02C0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Référentiel Technique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Etat de santé</w:t>
            </w:r>
          </w:p>
        </w:tc>
        <w:tc>
          <w:tcPr>
            <w:tcW w:w="4962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Etat de santé générale du bien</w:t>
            </w:r>
          </w:p>
        </w:tc>
        <w:tc>
          <w:tcPr>
            <w:tcW w:w="2176" w:type="dxa"/>
          </w:tcPr>
          <w:p w:rsidR="00E203F0" w:rsidRPr="005F02C0" w:rsidRDefault="005F02C0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Référentiel Technique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Année de construction</w:t>
            </w:r>
          </w:p>
        </w:tc>
        <w:tc>
          <w:tcPr>
            <w:tcW w:w="4962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Année de construction du bien</w:t>
            </w:r>
          </w:p>
        </w:tc>
        <w:tc>
          <w:tcPr>
            <w:tcW w:w="2176" w:type="dxa"/>
          </w:tcPr>
          <w:p w:rsidR="00E203F0" w:rsidRPr="005F02C0" w:rsidRDefault="005F02C0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Chorus RE-Fx, Référentiel Technique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Tri des déchets</w:t>
            </w:r>
          </w:p>
        </w:tc>
        <w:tc>
          <w:tcPr>
            <w:tcW w:w="4962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Identification des biens impliqués dans le tri des déchets</w:t>
            </w:r>
          </w:p>
        </w:tc>
        <w:tc>
          <w:tcPr>
            <w:tcW w:w="2176" w:type="dxa"/>
          </w:tcPr>
          <w:p w:rsidR="00E203F0" w:rsidRPr="005F02C0" w:rsidRDefault="005F02C0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Référentiel Technique</w:t>
            </w:r>
          </w:p>
        </w:tc>
      </w:tr>
      <w:tr w:rsidR="00E203F0" w:rsidTr="005F02C0">
        <w:trPr>
          <w:tblHeader/>
        </w:trPr>
        <w:tc>
          <w:tcPr>
            <w:tcW w:w="2830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ERP</w:t>
            </w:r>
          </w:p>
        </w:tc>
        <w:tc>
          <w:tcPr>
            <w:tcW w:w="4962" w:type="dxa"/>
          </w:tcPr>
          <w:p w:rsidR="00E203F0" w:rsidRPr="005F02C0" w:rsidRDefault="008B689C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Identification des établissements recevant du publique</w:t>
            </w:r>
          </w:p>
        </w:tc>
        <w:tc>
          <w:tcPr>
            <w:tcW w:w="2176" w:type="dxa"/>
          </w:tcPr>
          <w:p w:rsidR="00E203F0" w:rsidRPr="005F02C0" w:rsidRDefault="005F02C0" w:rsidP="00AE6ECD">
            <w:pPr>
              <w:rPr>
                <w:sz w:val="16"/>
                <w:szCs w:val="16"/>
              </w:rPr>
            </w:pPr>
            <w:r w:rsidRPr="005F02C0">
              <w:rPr>
                <w:rFonts w:cs="Calibri"/>
                <w:sz w:val="16"/>
                <w:szCs w:val="16"/>
              </w:rPr>
              <w:t>Référentiel Technique</w:t>
            </w:r>
          </w:p>
        </w:tc>
      </w:tr>
    </w:tbl>
    <w:p w:rsidR="00465597" w:rsidRDefault="00465597" w:rsidP="005F02C0"/>
    <w:sectPr w:rsidR="00465597" w:rsidSect="00930C0C">
      <w:headerReference w:type="default" r:id="rId9"/>
      <w:footerReference w:type="default" r:id="rId10"/>
      <w:headerReference w:type="first" r:id="rId11"/>
      <w:pgSz w:w="11906" w:h="16838" w:code="9"/>
      <w:pgMar w:top="1135" w:right="964" w:bottom="1560" w:left="964" w:header="426" w:footer="10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E12" w:rsidRDefault="00090E12" w:rsidP="000E388C">
      <w:r>
        <w:separator/>
      </w:r>
    </w:p>
  </w:endnote>
  <w:endnote w:type="continuationSeparator" w:id="0">
    <w:p w:rsidR="00090E12" w:rsidRDefault="00090E12" w:rsidP="000E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488" w:rsidRPr="00AC21DB" w:rsidRDefault="004C0488" w:rsidP="005028F7">
    <w:pPr>
      <w:pStyle w:val="Pieddepage"/>
      <w:tabs>
        <w:tab w:val="center" w:pos="4962"/>
        <w:tab w:val="right" w:pos="9923"/>
      </w:tabs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ab/>
    </w:r>
    <w:r w:rsidRPr="00AC21DB">
      <w:rPr>
        <w:rFonts w:ascii="Marianne" w:hAnsi="Marianne"/>
        <w:sz w:val="16"/>
        <w:szCs w:val="16"/>
      </w:rPr>
      <w:fldChar w:fldCharType="begin"/>
    </w:r>
    <w:r w:rsidRPr="00AC21DB">
      <w:rPr>
        <w:rFonts w:ascii="Marianne" w:hAnsi="Marianne"/>
        <w:sz w:val="16"/>
        <w:szCs w:val="16"/>
      </w:rPr>
      <w:instrText>PAGE  \* Arabic  \* MERGEFORMAT</w:instrText>
    </w:r>
    <w:r w:rsidRPr="00AC21DB">
      <w:rPr>
        <w:rFonts w:ascii="Marianne" w:hAnsi="Marianne"/>
        <w:sz w:val="16"/>
        <w:szCs w:val="16"/>
      </w:rPr>
      <w:fldChar w:fldCharType="separate"/>
    </w:r>
    <w:r w:rsidR="00B655E3">
      <w:rPr>
        <w:rFonts w:ascii="Marianne" w:hAnsi="Marianne"/>
        <w:noProof/>
        <w:sz w:val="16"/>
        <w:szCs w:val="16"/>
      </w:rPr>
      <w:t>5</w:t>
    </w:r>
    <w:r w:rsidRPr="00AC21DB">
      <w:rPr>
        <w:rFonts w:ascii="Marianne" w:hAnsi="Marianne"/>
        <w:sz w:val="16"/>
        <w:szCs w:val="16"/>
      </w:rPr>
      <w:fldChar w:fldCharType="end"/>
    </w:r>
    <w:r w:rsidRPr="00AC21DB">
      <w:rPr>
        <w:rFonts w:ascii="Marianne" w:hAnsi="Marianne"/>
        <w:sz w:val="16"/>
        <w:szCs w:val="16"/>
      </w:rPr>
      <w:t>/</w:t>
    </w:r>
    <w:r w:rsidRPr="00AC21DB">
      <w:rPr>
        <w:rFonts w:ascii="Marianne" w:hAnsi="Marianne"/>
        <w:sz w:val="16"/>
        <w:szCs w:val="16"/>
      </w:rPr>
      <w:fldChar w:fldCharType="begin"/>
    </w:r>
    <w:r w:rsidRPr="00AC21DB">
      <w:rPr>
        <w:rFonts w:ascii="Marianne" w:hAnsi="Marianne"/>
        <w:sz w:val="16"/>
        <w:szCs w:val="16"/>
      </w:rPr>
      <w:instrText>NUMPAGES  \* Arabic  \* MERGEFORMAT</w:instrText>
    </w:r>
    <w:r w:rsidRPr="00AC21DB">
      <w:rPr>
        <w:rFonts w:ascii="Marianne" w:hAnsi="Marianne"/>
        <w:sz w:val="16"/>
        <w:szCs w:val="16"/>
      </w:rPr>
      <w:fldChar w:fldCharType="separate"/>
    </w:r>
    <w:r w:rsidR="00B655E3">
      <w:rPr>
        <w:rFonts w:ascii="Marianne" w:hAnsi="Marianne"/>
        <w:noProof/>
        <w:sz w:val="16"/>
        <w:szCs w:val="16"/>
      </w:rPr>
      <w:t>5</w:t>
    </w:r>
    <w:r w:rsidRPr="00AC21DB">
      <w:rPr>
        <w:rFonts w:ascii="Marianne" w:hAnsi="Marianne"/>
        <w:sz w:val="16"/>
        <w:szCs w:val="16"/>
      </w:rPr>
      <w:fldChar w:fldCharType="end"/>
    </w:r>
    <w:r>
      <w:rPr>
        <w:rFonts w:ascii="Marianne" w:hAnsi="Marianne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E12" w:rsidRDefault="00090E12" w:rsidP="000E388C">
      <w:r>
        <w:separator/>
      </w:r>
    </w:p>
  </w:footnote>
  <w:footnote w:type="continuationSeparator" w:id="0">
    <w:p w:rsidR="00090E12" w:rsidRDefault="00090E12" w:rsidP="000E3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488" w:rsidRDefault="004C0488" w:rsidP="005028F7">
    <w:pPr>
      <w:pStyle w:val="En-tte"/>
      <w:jc w:val="right"/>
    </w:pPr>
    <w:r>
      <w:t>19/12/2024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488" w:rsidRDefault="004C0488">
    <w:pPr>
      <w:pStyle w:val="En-tte"/>
    </w:pPr>
  </w:p>
  <w:p w:rsidR="004C0488" w:rsidRDefault="004C0488">
    <w:pPr>
      <w:pStyle w:val="En-tte"/>
    </w:pPr>
  </w:p>
  <w:p w:rsidR="004C0488" w:rsidRDefault="004C0488" w:rsidP="006D6988">
    <w:pPr>
      <w:pStyle w:val="En-tte"/>
      <w:spacing w:line="248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918B6"/>
    <w:multiLevelType w:val="multilevel"/>
    <w:tmpl w:val="0D060FAA"/>
    <w:lvl w:ilvl="0">
      <w:start w:val="1"/>
      <w:numFmt w:val="decimal"/>
      <w:pStyle w:val="DIETitre1Rapport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lowerLetter"/>
      <w:pStyle w:val="DIETitre2Rapport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DIETitre3Rapport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FF96D7F"/>
    <w:multiLevelType w:val="hybridMultilevel"/>
    <w:tmpl w:val="BC4C63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C37193"/>
    <w:multiLevelType w:val="hybridMultilevel"/>
    <w:tmpl w:val="B1FA52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5B2E48CC"/>
    <w:multiLevelType w:val="hybridMultilevel"/>
    <w:tmpl w:val="7F0C847C"/>
    <w:lvl w:ilvl="0" w:tplc="679084E8">
      <w:start w:val="1"/>
      <w:numFmt w:val="lowerLetter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93D203C"/>
    <w:multiLevelType w:val="hybridMultilevel"/>
    <w:tmpl w:val="D090A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5"/>
  </w:num>
  <w:num w:numId="13">
    <w:abstractNumId w:val="18"/>
  </w:num>
  <w:num w:numId="14">
    <w:abstractNumId w:val="11"/>
  </w:num>
  <w:num w:numId="15">
    <w:abstractNumId w:val="12"/>
  </w:num>
  <w:num w:numId="16">
    <w:abstractNumId w:val="16"/>
  </w:num>
  <w:num w:numId="17">
    <w:abstractNumId w:val="13"/>
  </w:num>
  <w:num w:numId="18">
    <w:abstractNumId w:val="17"/>
  </w:num>
  <w:num w:numId="19">
    <w:abstractNumId w:val="14"/>
  </w:num>
  <w:num w:numId="20">
    <w:abstractNumId w:val="1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6C"/>
    <w:rsid w:val="00090E12"/>
    <w:rsid w:val="000B725D"/>
    <w:rsid w:val="000C1E9E"/>
    <w:rsid w:val="000C711B"/>
    <w:rsid w:val="000E388C"/>
    <w:rsid w:val="00185AFB"/>
    <w:rsid w:val="00191CBA"/>
    <w:rsid w:val="00192EEE"/>
    <w:rsid w:val="001A5DDF"/>
    <w:rsid w:val="001B0B87"/>
    <w:rsid w:val="001B585A"/>
    <w:rsid w:val="002019AB"/>
    <w:rsid w:val="002051C9"/>
    <w:rsid w:val="00217EF0"/>
    <w:rsid w:val="0022072C"/>
    <w:rsid w:val="0022180D"/>
    <w:rsid w:val="00264327"/>
    <w:rsid w:val="00267EB8"/>
    <w:rsid w:val="00286BBA"/>
    <w:rsid w:val="002C58C2"/>
    <w:rsid w:val="00305138"/>
    <w:rsid w:val="00370CC5"/>
    <w:rsid w:val="003C68DD"/>
    <w:rsid w:val="003C7C34"/>
    <w:rsid w:val="003F2FE1"/>
    <w:rsid w:val="004627F2"/>
    <w:rsid w:val="00462D62"/>
    <w:rsid w:val="00465597"/>
    <w:rsid w:val="004B23A4"/>
    <w:rsid w:val="004C0488"/>
    <w:rsid w:val="004E76F8"/>
    <w:rsid w:val="0050168C"/>
    <w:rsid w:val="0050186E"/>
    <w:rsid w:val="00502202"/>
    <w:rsid w:val="005028F7"/>
    <w:rsid w:val="00523158"/>
    <w:rsid w:val="005232F9"/>
    <w:rsid w:val="005475FA"/>
    <w:rsid w:val="00547DD2"/>
    <w:rsid w:val="00550AF2"/>
    <w:rsid w:val="00594E0B"/>
    <w:rsid w:val="00595002"/>
    <w:rsid w:val="005B4C7C"/>
    <w:rsid w:val="005F02C0"/>
    <w:rsid w:val="00606733"/>
    <w:rsid w:val="00644D1C"/>
    <w:rsid w:val="006612B4"/>
    <w:rsid w:val="006B108E"/>
    <w:rsid w:val="006C296F"/>
    <w:rsid w:val="006D6988"/>
    <w:rsid w:val="006F538E"/>
    <w:rsid w:val="00721698"/>
    <w:rsid w:val="007C6A80"/>
    <w:rsid w:val="00820FB2"/>
    <w:rsid w:val="0083605F"/>
    <w:rsid w:val="00836655"/>
    <w:rsid w:val="00894E6E"/>
    <w:rsid w:val="008B689C"/>
    <w:rsid w:val="008E5A7D"/>
    <w:rsid w:val="00907DD3"/>
    <w:rsid w:val="0092435E"/>
    <w:rsid w:val="00930C0C"/>
    <w:rsid w:val="009460AD"/>
    <w:rsid w:val="00962526"/>
    <w:rsid w:val="00971591"/>
    <w:rsid w:val="009764FA"/>
    <w:rsid w:val="009A005D"/>
    <w:rsid w:val="009B1B86"/>
    <w:rsid w:val="00AB1D54"/>
    <w:rsid w:val="00AC21DB"/>
    <w:rsid w:val="00AC3143"/>
    <w:rsid w:val="00AE6ECD"/>
    <w:rsid w:val="00B57222"/>
    <w:rsid w:val="00B655E3"/>
    <w:rsid w:val="00B92487"/>
    <w:rsid w:val="00BA0D23"/>
    <w:rsid w:val="00BA4D1D"/>
    <w:rsid w:val="00BE3EF8"/>
    <w:rsid w:val="00C221BA"/>
    <w:rsid w:val="00C30949"/>
    <w:rsid w:val="00C82B2F"/>
    <w:rsid w:val="00CA304D"/>
    <w:rsid w:val="00D22296"/>
    <w:rsid w:val="00D94681"/>
    <w:rsid w:val="00DB2103"/>
    <w:rsid w:val="00DC1A26"/>
    <w:rsid w:val="00DC448D"/>
    <w:rsid w:val="00DF66AA"/>
    <w:rsid w:val="00E203F0"/>
    <w:rsid w:val="00E21A41"/>
    <w:rsid w:val="00E259C4"/>
    <w:rsid w:val="00E34B1C"/>
    <w:rsid w:val="00E34CFC"/>
    <w:rsid w:val="00E4056C"/>
    <w:rsid w:val="00EC4C79"/>
    <w:rsid w:val="00F07DEC"/>
    <w:rsid w:val="00F51D4C"/>
    <w:rsid w:val="00F73AE3"/>
    <w:rsid w:val="00FA1E79"/>
    <w:rsid w:val="00FA4673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AF725B-710A-44DC-B6D2-DBD89DD9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88C"/>
    <w:pPr>
      <w:spacing w:before="120" w:after="120" w:line="240" w:lineRule="auto"/>
      <w:jc w:val="both"/>
    </w:pPr>
    <w:rPr>
      <w:rFonts w:ascii="Marianne" w:hAnsi="Marianne"/>
      <w:sz w:val="22"/>
    </w:rPr>
  </w:style>
  <w:style w:type="paragraph" w:styleId="Titre1">
    <w:name w:val="heading 1"/>
    <w:basedOn w:val="Normal"/>
    <w:next w:val="Normal"/>
    <w:link w:val="Titre1Car"/>
    <w:uiPriority w:val="9"/>
    <w:rsid w:val="00FA1E79"/>
    <w:pPr>
      <w:keepNext/>
      <w:keepLines/>
      <w:spacing w:before="18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rsid w:val="00FA1E79"/>
    <w:pPr>
      <w:keepNext/>
      <w:keepLines/>
      <w:numPr>
        <w:ilvl w:val="1"/>
        <w:numId w:val="12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FA1E79"/>
    <w:pPr>
      <w:keepNext/>
      <w:keepLines/>
      <w:numPr>
        <w:ilvl w:val="2"/>
        <w:numId w:val="12"/>
      </w:numPr>
      <w:spacing w:before="160" w:line="220" w:lineRule="atLeast"/>
      <w:outlineLvl w:val="2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FA1E79"/>
    <w:pPr>
      <w:keepNext/>
      <w:keepLines/>
      <w:numPr>
        <w:ilvl w:val="3"/>
        <w:numId w:val="12"/>
      </w:numPr>
      <w:spacing w:before="1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223431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223431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unhideWhenUsed/>
    <w:rsid w:val="002019AB"/>
    <w:pPr>
      <w:spacing w:line="240" w:lineRule="exact"/>
    </w:p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iPriority w:val="99"/>
    <w:unhideWhenUsed/>
    <w:rsid w:val="003C7C34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semiHidden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A1E79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962526"/>
    <w:rPr>
      <w:rFonts w:asciiTheme="majorHAnsi" w:eastAsiaTheme="majorEastAsia" w:hAnsiTheme="majorHAnsi" w:cstheme="majorBidi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962526"/>
    <w:rPr>
      <w:rFonts w:asciiTheme="majorHAnsi" w:eastAsiaTheme="majorEastAsia" w:hAnsiTheme="majorHAnsi" w:cstheme="majorBidi"/>
      <w:b/>
      <w:bCs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223431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223431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puce1">
    <w:name w:val="Texte puce 1"/>
    <w:basedOn w:val="Paragraphedeliste"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Textedesaisie">
    <w:name w:val="Texte de saisie"/>
    <w:basedOn w:val="Normal"/>
    <w:qFormat/>
    <w:rsid w:val="00523158"/>
    <w:pPr>
      <w:spacing w:line="264" w:lineRule="atLeast"/>
    </w:pPr>
  </w:style>
  <w:style w:type="paragraph" w:customStyle="1" w:styleId="DIETitre1Rapport">
    <w:name w:val="DIE Titre 1 Rapport"/>
    <w:basedOn w:val="Normal"/>
    <w:next w:val="DIETitre2Rapport"/>
    <w:link w:val="DIETitre1RapportCar"/>
    <w:qFormat/>
    <w:rsid w:val="00AE6ECD"/>
    <w:pPr>
      <w:numPr>
        <w:numId w:val="15"/>
      </w:numPr>
      <w:ind w:left="714" w:hanging="357"/>
      <w:outlineLvl w:val="0"/>
    </w:pPr>
    <w:rPr>
      <w:rFonts w:ascii="Marianne ExtraBold" w:hAnsi="Marianne ExtraBold"/>
      <w:b/>
      <w:color w:val="5770BE" w:themeColor="text2"/>
      <w:sz w:val="36"/>
      <w:szCs w:val="22"/>
    </w:rPr>
  </w:style>
  <w:style w:type="paragraph" w:customStyle="1" w:styleId="NomPrnom">
    <w:name w:val="Nom Prénom"/>
    <w:basedOn w:val="Normal"/>
    <w:qFormat/>
    <w:rsid w:val="00BA4D1D"/>
    <w:pPr>
      <w:spacing w:line="288" w:lineRule="atLeast"/>
    </w:pPr>
    <w:rPr>
      <w:b/>
      <w:caps/>
      <w:sz w:val="24"/>
    </w:rPr>
  </w:style>
  <w:style w:type="paragraph" w:customStyle="1" w:styleId="Texte-Postefonction">
    <w:name w:val="Texte - Poste/fonction"/>
    <w:basedOn w:val="Normal"/>
    <w:qFormat/>
    <w:rsid w:val="006D6988"/>
    <w:pPr>
      <w:spacing w:line="264" w:lineRule="atLeast"/>
    </w:pPr>
  </w:style>
  <w:style w:type="paragraph" w:customStyle="1" w:styleId="Texte-Adresseligne1">
    <w:name w:val="Texte - Adresse ligne 1"/>
    <w:basedOn w:val="Normal"/>
    <w:qFormat/>
    <w:rsid w:val="001A5DDF"/>
    <w:pPr>
      <w:framePr w:w="9979" w:h="964" w:wrap="notBeside" w:vAnchor="page" w:hAnchor="page" w:xAlign="center" w:yAlign="bottom" w:anchorLock="1"/>
      <w:spacing w:line="192" w:lineRule="atLeast"/>
    </w:pPr>
    <w:rPr>
      <w:sz w:val="16"/>
    </w:rPr>
  </w:style>
  <w:style w:type="paragraph" w:customStyle="1" w:styleId="Texte-Adresseligne2">
    <w:name w:val="Texte - Adresse ligne 2"/>
    <w:basedOn w:val="Texte-Adresseligne1"/>
    <w:qFormat/>
    <w:rsid w:val="001A5DDF"/>
    <w:pPr>
      <w:framePr w:wrap="notBeside"/>
    </w:pPr>
  </w:style>
  <w:style w:type="paragraph" w:customStyle="1" w:styleId="Texte-Tl">
    <w:name w:val="Texte - Tél."/>
    <w:basedOn w:val="Texte-Adresseligne1"/>
    <w:qFormat/>
    <w:rsid w:val="001A5DDF"/>
    <w:pPr>
      <w:framePr w:wrap="notBeside"/>
    </w:pPr>
  </w:style>
  <w:style w:type="paragraph" w:customStyle="1" w:styleId="Texte-Ml">
    <w:name w:val="Texte - Mél."/>
    <w:basedOn w:val="Texte-Adresseligne1"/>
    <w:qFormat/>
    <w:rsid w:val="001A5DDF"/>
    <w:pPr>
      <w:framePr w:wrap="notBeside"/>
    </w:pPr>
  </w:style>
  <w:style w:type="paragraph" w:customStyle="1" w:styleId="Texte-Pieddepage">
    <w:name w:val="Texte - Pied de page"/>
    <w:basedOn w:val="Texte-Adresseligne1"/>
    <w:qFormat/>
    <w:rsid w:val="001A5DDF"/>
    <w:pPr>
      <w:framePr w:wrap="notBeside"/>
    </w:pPr>
    <w:rPr>
      <w:lang w:val="en-US"/>
    </w:rPr>
  </w:style>
  <w:style w:type="paragraph" w:customStyle="1" w:styleId="Pagination">
    <w:name w:val="Pagination"/>
    <w:basedOn w:val="Normal"/>
    <w:qFormat/>
    <w:rsid w:val="001A5DDF"/>
    <w:pPr>
      <w:framePr w:w="9979" w:h="964" w:wrap="notBeside" w:vAnchor="page" w:hAnchor="page" w:xAlign="center" w:yAlign="bottom" w:anchorLock="1"/>
      <w:spacing w:line="192" w:lineRule="atLeast"/>
      <w:jc w:val="center"/>
    </w:pPr>
    <w:rPr>
      <w:sz w:val="16"/>
      <w:lang w:val="en-US"/>
    </w:rPr>
  </w:style>
  <w:style w:type="paragraph" w:styleId="Date">
    <w:name w:val="Date"/>
    <w:basedOn w:val="Normal"/>
    <w:next w:val="Normal"/>
    <w:link w:val="DateCar"/>
    <w:uiPriority w:val="99"/>
    <w:rsid w:val="00836655"/>
    <w:pPr>
      <w:spacing w:line="192" w:lineRule="atLeast"/>
      <w:jc w:val="right"/>
    </w:pPr>
    <w:rPr>
      <w:sz w:val="16"/>
    </w:rPr>
  </w:style>
  <w:style w:type="character" w:customStyle="1" w:styleId="DateCar">
    <w:name w:val="Date Car"/>
    <w:basedOn w:val="Policepardfaut"/>
    <w:link w:val="Date"/>
    <w:uiPriority w:val="99"/>
    <w:rsid w:val="00836655"/>
    <w:rPr>
      <w:sz w:val="16"/>
    </w:rPr>
  </w:style>
  <w:style w:type="paragraph" w:customStyle="1" w:styleId="Texte-Pieddepageintitul">
    <w:name w:val="Texte - Pied de page intitulé"/>
    <w:basedOn w:val="Texte-Pieddepage"/>
    <w:qFormat/>
    <w:rsid w:val="00217EF0"/>
    <w:pPr>
      <w:framePr w:w="0" w:hRule="auto" w:wrap="around" w:anchorLock="0"/>
      <w:spacing w:after="85"/>
    </w:pPr>
    <w:rPr>
      <w:b/>
    </w:rPr>
  </w:style>
  <w:style w:type="table" w:styleId="TableauGrille2-Accentuation2">
    <w:name w:val="Grid Table 2 Accent 2"/>
    <w:basedOn w:val="TableauNormal"/>
    <w:uiPriority w:val="47"/>
    <w:rsid w:val="0083605F"/>
    <w:pPr>
      <w:spacing w:line="240" w:lineRule="auto"/>
    </w:pPr>
    <w:tblPr>
      <w:tblStyleRowBandSize w:val="1"/>
      <w:tblStyleColBandSize w:val="1"/>
      <w:tblInd w:w="0" w:type="dxa"/>
      <w:tblBorders>
        <w:top w:val="single" w:sz="2" w:space="0" w:color="FFBAB1" w:themeColor="accent2" w:themeTint="99"/>
        <w:bottom w:val="single" w:sz="2" w:space="0" w:color="FFBAB1" w:themeColor="accent2" w:themeTint="99"/>
        <w:insideH w:val="single" w:sz="2" w:space="0" w:color="FFBAB1" w:themeColor="accent2" w:themeTint="99"/>
        <w:insideV w:val="single" w:sz="2" w:space="0" w:color="FFBAB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BAB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AB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E5" w:themeFill="accent2" w:themeFillTint="33"/>
      </w:tcPr>
    </w:tblStylePr>
    <w:tblStylePr w:type="band1Horz">
      <w:tblPr/>
      <w:tcPr>
        <w:shd w:val="clear" w:color="auto" w:fill="FFE7E5" w:themeFill="accent2" w:themeFillTint="33"/>
      </w:tcPr>
    </w:tblStylePr>
  </w:style>
  <w:style w:type="table" w:styleId="TableauGrille3-Accentuation2">
    <w:name w:val="Grid Table 3 Accent 2"/>
    <w:basedOn w:val="TableauNormal"/>
    <w:uiPriority w:val="48"/>
    <w:rsid w:val="0083605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BAB1" w:themeColor="accent2" w:themeTint="99"/>
        <w:left w:val="single" w:sz="4" w:space="0" w:color="FFBAB1" w:themeColor="accent2" w:themeTint="99"/>
        <w:bottom w:val="single" w:sz="4" w:space="0" w:color="FFBAB1" w:themeColor="accent2" w:themeTint="99"/>
        <w:right w:val="single" w:sz="4" w:space="0" w:color="FFBAB1" w:themeColor="accent2" w:themeTint="99"/>
        <w:insideH w:val="single" w:sz="4" w:space="0" w:color="FFBAB1" w:themeColor="accent2" w:themeTint="99"/>
        <w:insideV w:val="single" w:sz="4" w:space="0" w:color="FFBAB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E5" w:themeFill="accent2" w:themeFillTint="33"/>
      </w:tcPr>
    </w:tblStylePr>
    <w:tblStylePr w:type="band1Horz">
      <w:tblPr/>
      <w:tcPr>
        <w:shd w:val="clear" w:color="auto" w:fill="FFE7E5" w:themeFill="accent2" w:themeFillTint="33"/>
      </w:tcPr>
    </w:tblStylePr>
    <w:tblStylePr w:type="neCell">
      <w:tblPr/>
      <w:tcPr>
        <w:tcBorders>
          <w:bottom w:val="single" w:sz="4" w:space="0" w:color="FFBAB1" w:themeColor="accent2" w:themeTint="99"/>
        </w:tcBorders>
      </w:tcPr>
    </w:tblStylePr>
    <w:tblStylePr w:type="nwCell">
      <w:tblPr/>
      <w:tcPr>
        <w:tcBorders>
          <w:bottom w:val="single" w:sz="4" w:space="0" w:color="FFBAB1" w:themeColor="accent2" w:themeTint="99"/>
        </w:tcBorders>
      </w:tcPr>
    </w:tblStylePr>
    <w:tblStylePr w:type="seCell">
      <w:tblPr/>
      <w:tcPr>
        <w:tcBorders>
          <w:top w:val="single" w:sz="4" w:space="0" w:color="FFBAB1" w:themeColor="accent2" w:themeTint="99"/>
        </w:tcBorders>
      </w:tcPr>
    </w:tblStylePr>
    <w:tblStylePr w:type="swCell">
      <w:tblPr/>
      <w:tcPr>
        <w:tcBorders>
          <w:top w:val="single" w:sz="4" w:space="0" w:color="FFBAB1" w:themeColor="accent2" w:themeTint="99"/>
        </w:tcBorders>
      </w:tcPr>
    </w:tblStylePr>
  </w:style>
  <w:style w:type="table" w:styleId="TableauGrille6Couleur-Accentuation2">
    <w:name w:val="Grid Table 6 Colorful Accent 2"/>
    <w:basedOn w:val="TableauNormal"/>
    <w:uiPriority w:val="51"/>
    <w:rsid w:val="0083605F"/>
    <w:pPr>
      <w:spacing w:line="240" w:lineRule="auto"/>
    </w:pPr>
    <w:rPr>
      <w:color w:val="FF371E" w:themeColor="accent2" w:themeShade="BF"/>
    </w:rPr>
    <w:tblPr>
      <w:tblStyleRowBandSize w:val="1"/>
      <w:tblStyleColBandSize w:val="1"/>
      <w:tblInd w:w="0" w:type="dxa"/>
      <w:tblBorders>
        <w:top w:val="single" w:sz="4" w:space="0" w:color="FFBAB1" w:themeColor="accent2" w:themeTint="99"/>
        <w:left w:val="single" w:sz="4" w:space="0" w:color="FFBAB1" w:themeColor="accent2" w:themeTint="99"/>
        <w:bottom w:val="single" w:sz="4" w:space="0" w:color="FFBAB1" w:themeColor="accent2" w:themeTint="99"/>
        <w:right w:val="single" w:sz="4" w:space="0" w:color="FFBAB1" w:themeColor="accent2" w:themeTint="99"/>
        <w:insideH w:val="single" w:sz="4" w:space="0" w:color="FFBAB1" w:themeColor="accent2" w:themeTint="99"/>
        <w:insideV w:val="single" w:sz="4" w:space="0" w:color="FFBAB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BA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A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E5" w:themeFill="accent2" w:themeFillTint="33"/>
      </w:tcPr>
    </w:tblStylePr>
    <w:tblStylePr w:type="band1Horz">
      <w:tblPr/>
      <w:tcPr>
        <w:shd w:val="clear" w:color="auto" w:fill="FFE7E5" w:themeFill="accent2" w:themeFillTint="33"/>
      </w:tcPr>
    </w:tblStylePr>
  </w:style>
  <w:style w:type="table" w:styleId="TableauListe4-Accentuation2">
    <w:name w:val="List Table 4 Accent 2"/>
    <w:basedOn w:val="TableauNormal"/>
    <w:uiPriority w:val="49"/>
    <w:rsid w:val="0083605F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BAB1" w:themeColor="accent2" w:themeTint="99"/>
        <w:left w:val="single" w:sz="4" w:space="0" w:color="FFBAB1" w:themeColor="accent2" w:themeTint="99"/>
        <w:bottom w:val="single" w:sz="4" w:space="0" w:color="FFBAB1" w:themeColor="accent2" w:themeTint="99"/>
        <w:right w:val="single" w:sz="4" w:space="0" w:color="FFBAB1" w:themeColor="accent2" w:themeTint="99"/>
        <w:insideH w:val="single" w:sz="4" w:space="0" w:color="FFBAB1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D7E" w:themeColor="accent2"/>
          <w:left w:val="single" w:sz="4" w:space="0" w:color="FF8D7E" w:themeColor="accent2"/>
          <w:bottom w:val="single" w:sz="4" w:space="0" w:color="FF8D7E" w:themeColor="accent2"/>
          <w:right w:val="single" w:sz="4" w:space="0" w:color="FF8D7E" w:themeColor="accent2"/>
          <w:insideH w:val="nil"/>
        </w:tcBorders>
        <w:shd w:val="clear" w:color="auto" w:fill="FF8D7E" w:themeFill="accent2"/>
      </w:tcPr>
    </w:tblStylePr>
    <w:tblStylePr w:type="lastRow">
      <w:rPr>
        <w:b/>
        <w:bCs/>
      </w:rPr>
      <w:tblPr/>
      <w:tcPr>
        <w:tcBorders>
          <w:top w:val="double" w:sz="4" w:space="0" w:color="FFBA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E5" w:themeFill="accent2" w:themeFillTint="33"/>
      </w:tcPr>
    </w:tblStylePr>
    <w:tblStylePr w:type="band1Horz">
      <w:tblPr/>
      <w:tcPr>
        <w:shd w:val="clear" w:color="auto" w:fill="FFE7E5" w:themeFill="accent2" w:themeFillTint="33"/>
      </w:tcPr>
    </w:tblStylePr>
  </w:style>
  <w:style w:type="paragraph" w:customStyle="1" w:styleId="DIETitre2Rapport">
    <w:name w:val="DIE Titre 2 Rapport"/>
    <w:basedOn w:val="DIETitre1Rapport"/>
    <w:next w:val="DIETitre3Rapport"/>
    <w:link w:val="DIETitre2RapportCar"/>
    <w:qFormat/>
    <w:rsid w:val="00AE6ECD"/>
    <w:pPr>
      <w:numPr>
        <w:ilvl w:val="1"/>
      </w:numPr>
    </w:pPr>
    <w:rPr>
      <w:b w:val="0"/>
      <w:bCs/>
      <w:sz w:val="28"/>
      <w:szCs w:val="20"/>
    </w:rPr>
  </w:style>
  <w:style w:type="character" w:customStyle="1" w:styleId="DIETitre1RapportCar">
    <w:name w:val="DIE Titre 1 Rapport Car"/>
    <w:basedOn w:val="Policepardfaut"/>
    <w:link w:val="DIETitre1Rapport"/>
    <w:rsid w:val="00AE6ECD"/>
    <w:rPr>
      <w:rFonts w:ascii="Marianne ExtraBold" w:hAnsi="Marianne ExtraBold"/>
      <w:b/>
      <w:color w:val="5770BE" w:themeColor="text2"/>
      <w:sz w:val="36"/>
      <w:szCs w:val="22"/>
    </w:rPr>
  </w:style>
  <w:style w:type="character" w:customStyle="1" w:styleId="DIETitre2RapportCar">
    <w:name w:val="DIE Titre 2 Rapport Car"/>
    <w:basedOn w:val="DIETitre1RapportCar"/>
    <w:link w:val="DIETitre2Rapport"/>
    <w:rsid w:val="00AE6ECD"/>
    <w:rPr>
      <w:rFonts w:ascii="Marianne ExtraBold" w:hAnsi="Marianne ExtraBold"/>
      <w:b w:val="0"/>
      <w:bCs/>
      <w:color w:val="5770BE" w:themeColor="text2"/>
      <w:sz w:val="28"/>
      <w:szCs w:val="22"/>
    </w:rPr>
  </w:style>
  <w:style w:type="paragraph" w:customStyle="1" w:styleId="DIETitre3Rapport">
    <w:name w:val="DIE Titre 3 Rapport"/>
    <w:basedOn w:val="DIETitre2Rapport"/>
    <w:next w:val="Normal"/>
    <w:link w:val="DIETitre3RapportCar"/>
    <w:qFormat/>
    <w:rsid w:val="00AE6ECD"/>
    <w:pPr>
      <w:numPr>
        <w:ilvl w:val="2"/>
      </w:numPr>
      <w:ind w:hanging="181"/>
    </w:pPr>
    <w:rPr>
      <w:i/>
      <w:iCs/>
      <w:sz w:val="24"/>
      <w:szCs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E6ECD"/>
    <w:pPr>
      <w:spacing w:before="240" w:after="0" w:line="259" w:lineRule="auto"/>
      <w:jc w:val="left"/>
      <w:outlineLvl w:val="9"/>
    </w:pPr>
    <w:rPr>
      <w:b w:val="0"/>
      <w:bCs w:val="0"/>
      <w:color w:val="344E4A" w:themeColor="accent1" w:themeShade="BF"/>
      <w:sz w:val="32"/>
      <w:szCs w:val="32"/>
      <w:u w:val="none"/>
      <w:lang w:eastAsia="fr-FR"/>
    </w:rPr>
  </w:style>
  <w:style w:type="character" w:customStyle="1" w:styleId="DIETitre3RapportCar">
    <w:name w:val="DIE Titre 3 Rapport Car"/>
    <w:basedOn w:val="DIETitre2RapportCar"/>
    <w:link w:val="DIETitre3Rapport"/>
    <w:rsid w:val="00AE6ECD"/>
    <w:rPr>
      <w:rFonts w:ascii="Marianne ExtraBold" w:hAnsi="Marianne ExtraBold"/>
      <w:b w:val="0"/>
      <w:bCs/>
      <w:i/>
      <w:iCs/>
      <w:color w:val="5770BE" w:themeColor="text2"/>
      <w:sz w:val="24"/>
      <w:szCs w:val="18"/>
    </w:rPr>
  </w:style>
  <w:style w:type="paragraph" w:styleId="TM1">
    <w:name w:val="toc 1"/>
    <w:basedOn w:val="Normal"/>
    <w:next w:val="Normal"/>
    <w:autoRedefine/>
    <w:uiPriority w:val="39"/>
    <w:unhideWhenUsed/>
    <w:rsid w:val="00AE6ECD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AE6ECD"/>
    <w:rPr>
      <w:color w:val="00AC8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cale\Desktop\tdl_ministeriel_marianne.dotx" TargetMode="External"/></Relationships>
</file>

<file path=word/theme/theme1.xml><?xml version="1.0" encoding="utf-8"?>
<a:theme xmlns:a="http://schemas.openxmlformats.org/drawingml/2006/main" name="ThèmeMACP">
  <a:themeElements>
    <a:clrScheme name="DIE MACP">
      <a:dk1>
        <a:srgbClr val="000000"/>
      </a:dk1>
      <a:lt1>
        <a:srgbClr val="FFFFFF"/>
      </a:lt1>
      <a:dk2>
        <a:srgbClr val="5770BE"/>
      </a:dk2>
      <a:lt2>
        <a:srgbClr val="FFE800"/>
      </a:lt2>
      <a:accent1>
        <a:srgbClr val="466964"/>
      </a:accent1>
      <a:accent2>
        <a:srgbClr val="FF8D7E"/>
      </a:accent2>
      <a:accent3>
        <a:srgbClr val="00AC8C"/>
      </a:accent3>
      <a:accent4>
        <a:srgbClr val="FF9940"/>
      </a:accent4>
      <a:accent5>
        <a:srgbClr val="484D7A"/>
      </a:accent5>
      <a:accent6>
        <a:srgbClr val="7D4E5B"/>
      </a:accent6>
      <a:hlink>
        <a:srgbClr val="00AC8C"/>
      </a:hlink>
      <a:folHlink>
        <a:srgbClr val="FF8D7E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MACP" id="{955C07B2-C490-47CB-A6AC-23A752D6A871}" vid="{692C2EF8-0FF3-4C66-B43E-2B74577AC48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F0D4C-C396-4A7D-BF77-25C60F39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tdl_ministeriel_marianne.dotx</Template>
  <TotalTime>1336</TotalTime>
  <Pages>5</Pages>
  <Words>1415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GOUVERNEMENT</vt:lpstr>
    </vt:vector>
  </TitlesOfParts>
  <Manager>GOUVERNEMENT</Manager>
  <Company>GOUVERNEMENT</Company>
  <LinksUpToDate>false</LinksUpToDate>
  <CharactersWithSpaces>9185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GOUVERNEMENT</dc:title>
  <dc:subject>GOUVERNEMENT</dc:subject>
  <dc:creator>minefi</dc:creator>
  <cp:lastModifiedBy>Tessa Pierre-Joseph</cp:lastModifiedBy>
  <cp:revision>9</cp:revision>
  <dcterms:created xsi:type="dcterms:W3CDTF">2024-12-18T15:00:00Z</dcterms:created>
  <dcterms:modified xsi:type="dcterms:W3CDTF">2024-12-20T09:00:00Z</dcterms:modified>
</cp:coreProperties>
</file>